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37E0" w14:textId="2E0D087C" w:rsidR="00897A4F" w:rsidRPr="001E3A0E" w:rsidRDefault="00BA5D92" w:rsidP="007E52E2">
      <w:pPr>
        <w:pStyle w:val="COVERSMALLCAPITALScentred10pt"/>
        <w:rPr>
          <w:sz w:val="24"/>
        </w:rPr>
      </w:pPr>
      <w:r w:rsidRPr="001E3A0E">
        <w:rPr>
          <w:sz w:val="24"/>
        </w:rPr>
        <w:t xml:space="preserve">WORKING PAPER NUMBER: </w:t>
      </w:r>
      <w:r w:rsidR="00E1147C" w:rsidRPr="001E3A0E">
        <w:rPr>
          <w:sz w:val="24"/>
        </w:rPr>
        <w:t>WP22_04</w:t>
      </w:r>
    </w:p>
    <w:p w14:paraId="29AD3AFB" w14:textId="77777777" w:rsidR="00BA5D92" w:rsidRPr="001E3A0E" w:rsidRDefault="00BA5D92" w:rsidP="00367A1D">
      <w:pPr>
        <w:spacing w:line="312" w:lineRule="auto"/>
        <w:jc w:val="center"/>
        <w:rPr>
          <w:sz w:val="24"/>
          <w:lang w:val="en-US" w:eastAsia="en-US"/>
        </w:rPr>
      </w:pPr>
    </w:p>
    <w:p w14:paraId="75BC8845" w14:textId="77777777" w:rsidR="00BA5D92" w:rsidRPr="001E3A0E" w:rsidRDefault="00BA5D92" w:rsidP="00367A1D">
      <w:pPr>
        <w:spacing w:line="312" w:lineRule="auto"/>
        <w:jc w:val="center"/>
        <w:rPr>
          <w:sz w:val="24"/>
          <w:lang w:val="en-US" w:eastAsia="en-US"/>
        </w:rPr>
      </w:pPr>
    </w:p>
    <w:p w14:paraId="5CC4BE25" w14:textId="77777777" w:rsidR="00BA5D92" w:rsidRPr="001E3A0E" w:rsidRDefault="00BA5D92" w:rsidP="00367A1D">
      <w:pPr>
        <w:spacing w:line="312" w:lineRule="auto"/>
        <w:jc w:val="center"/>
        <w:rPr>
          <w:sz w:val="24"/>
          <w:lang w:val="en-US" w:eastAsia="en-US"/>
        </w:rPr>
      </w:pPr>
    </w:p>
    <w:p w14:paraId="02BF6DAF" w14:textId="77777777" w:rsidR="00BA5D92" w:rsidRPr="001E3A0E" w:rsidRDefault="00BA5D92" w:rsidP="00367A1D">
      <w:pPr>
        <w:spacing w:line="312" w:lineRule="auto"/>
        <w:jc w:val="center"/>
        <w:rPr>
          <w:sz w:val="24"/>
          <w:lang w:val="en-US" w:eastAsia="en-US"/>
        </w:rPr>
      </w:pPr>
    </w:p>
    <w:p w14:paraId="04DF76B2" w14:textId="77777777" w:rsidR="00BA5D92" w:rsidRPr="001E3A0E" w:rsidRDefault="00BA5D92" w:rsidP="00367A1D">
      <w:pPr>
        <w:spacing w:line="312" w:lineRule="auto"/>
        <w:jc w:val="center"/>
        <w:rPr>
          <w:sz w:val="24"/>
          <w:lang w:val="en-US" w:eastAsia="en-US"/>
        </w:rPr>
      </w:pPr>
    </w:p>
    <w:p w14:paraId="0BD92CEA" w14:textId="1874169B" w:rsidR="00162340" w:rsidRPr="001E3A0E" w:rsidRDefault="00885640" w:rsidP="00763DB1">
      <w:pPr>
        <w:jc w:val="center"/>
        <w:rPr>
          <w:b/>
          <w:sz w:val="24"/>
          <w:lang w:val="en-US" w:eastAsia="en-US"/>
        </w:rPr>
      </w:pPr>
      <w:r w:rsidRPr="001E3A0E">
        <w:rPr>
          <w:b/>
          <w:sz w:val="24"/>
          <w:lang w:val="en-US" w:eastAsia="en-US"/>
        </w:rPr>
        <w:t>Progression of frailty as measured by a cumulative deficit index: a systematic review</w:t>
      </w:r>
      <w:r w:rsidRPr="001E3A0E">
        <w:rPr>
          <w:b/>
          <w:bCs/>
          <w:sz w:val="24"/>
        </w:rPr>
        <w:t xml:space="preserve"> </w:t>
      </w:r>
    </w:p>
    <w:p w14:paraId="259CB17E" w14:textId="77777777" w:rsidR="00763DB1" w:rsidRPr="001E3A0E" w:rsidRDefault="00763DB1" w:rsidP="00763DB1">
      <w:pPr>
        <w:jc w:val="center"/>
        <w:rPr>
          <w:sz w:val="24"/>
          <w:lang w:val="nl-NL"/>
        </w:rPr>
      </w:pPr>
    </w:p>
    <w:p w14:paraId="44AE9EFC" w14:textId="46D6A376" w:rsidR="00C84C44" w:rsidRPr="001E3A0E" w:rsidRDefault="00C84C44" w:rsidP="00C84C44">
      <w:pPr>
        <w:jc w:val="both"/>
        <w:rPr>
          <w:sz w:val="24"/>
          <w:lang w:val="nl-NL"/>
        </w:rPr>
      </w:pPr>
      <w:r w:rsidRPr="001E3A0E">
        <w:rPr>
          <w:sz w:val="24"/>
          <w:lang w:val="nl-NL"/>
        </w:rPr>
        <w:t xml:space="preserve">Daliya Kaskirbayeva*, Robert West, Hussain Jaafari, Natalie King, Daniel Howdon, Farag Shuweihdi, Andrew Clegg, Silviya Nikolova </w:t>
      </w:r>
    </w:p>
    <w:p w14:paraId="0751E49B" w14:textId="11A76B16" w:rsidR="003F51BC" w:rsidRPr="001E3A0E" w:rsidRDefault="00763DB1" w:rsidP="00C84C44">
      <w:pPr>
        <w:jc w:val="both"/>
        <w:rPr>
          <w:color w:val="000000"/>
          <w:sz w:val="24"/>
          <w:lang w:val="nl-NL"/>
        </w:rPr>
      </w:pPr>
      <w:r w:rsidRPr="001E3A0E">
        <w:rPr>
          <w:i/>
          <w:color w:val="000000"/>
          <w:sz w:val="24"/>
          <w:lang w:val="nl-NL"/>
        </w:rPr>
        <w:t>University of Leeds</w:t>
      </w:r>
    </w:p>
    <w:p w14:paraId="6065D34F" w14:textId="77777777" w:rsidR="00C84C44" w:rsidRPr="001E3A0E" w:rsidRDefault="00C84C44" w:rsidP="003F51BC">
      <w:pPr>
        <w:pStyle w:val="COVERSMALLCAPITALSLeftaligned10ptforCorrespondingAuthor"/>
        <w:rPr>
          <w:caps w:val="0"/>
          <w:sz w:val="24"/>
        </w:rPr>
      </w:pPr>
    </w:p>
    <w:p w14:paraId="6BBBB2DF" w14:textId="7648DBE2" w:rsidR="003F51BC" w:rsidRPr="001E3A0E" w:rsidRDefault="00763DB1" w:rsidP="003F51BC">
      <w:pPr>
        <w:pStyle w:val="COVERSMALLCAPITALSLeftaligned10ptforCorrespondingAuthor"/>
        <w:rPr>
          <w:caps w:val="0"/>
          <w:sz w:val="24"/>
        </w:rPr>
      </w:pPr>
      <w:r w:rsidRPr="001E3A0E">
        <w:rPr>
          <w:caps w:val="0"/>
          <w:sz w:val="24"/>
        </w:rPr>
        <w:t xml:space="preserve">* Corresponding author: </w:t>
      </w:r>
      <w:hyperlink r:id="rId11" w:history="1">
        <w:r w:rsidR="000C1DE7" w:rsidRPr="001E3A0E">
          <w:rPr>
            <w:rStyle w:val="Hyperlink"/>
            <w:caps w:val="0"/>
            <w:sz w:val="24"/>
          </w:rPr>
          <w:t>D.Kaskirbayeva@leeds.ac.uk</w:t>
        </w:r>
      </w:hyperlink>
      <w:r w:rsidR="000C1DE7" w:rsidRPr="001E3A0E">
        <w:rPr>
          <w:rStyle w:val="Hyperlink"/>
          <w:caps w:val="0"/>
          <w:sz w:val="24"/>
        </w:rPr>
        <w:t xml:space="preserve">, </w:t>
      </w:r>
      <w:r w:rsidRPr="001E3A0E">
        <w:rPr>
          <w:sz w:val="24"/>
        </w:rPr>
        <w:t>A</w:t>
      </w:r>
      <w:r w:rsidRPr="001E3A0E">
        <w:rPr>
          <w:caps w:val="0"/>
          <w:sz w:val="24"/>
        </w:rPr>
        <w:t>cademic Unit of Health Economics, Leeds Institute of Health Sciences, University of Leeds, Worsley Building, Clarendon Way, Leeds, LS2 9LJ.</w:t>
      </w:r>
    </w:p>
    <w:p w14:paraId="1ACA076E" w14:textId="77777777" w:rsidR="008B0BB8" w:rsidRPr="001E3A0E" w:rsidRDefault="008B0BB8" w:rsidP="003F51BC">
      <w:pPr>
        <w:pStyle w:val="COVERCorresAuthordetailsleftaligned8pt"/>
        <w:rPr>
          <w:sz w:val="24"/>
          <w:szCs w:val="24"/>
        </w:rPr>
      </w:pPr>
    </w:p>
    <w:p w14:paraId="538BC886" w14:textId="77777777" w:rsidR="00C56B1F" w:rsidRPr="001E3A0E" w:rsidRDefault="00C56B1F">
      <w:pPr>
        <w:rPr>
          <w:b/>
          <w:sz w:val="24"/>
          <w:u w:val="single"/>
        </w:rPr>
      </w:pPr>
    </w:p>
    <w:p w14:paraId="3498940C" w14:textId="77777777" w:rsidR="00C56B1F" w:rsidRPr="001E3A0E" w:rsidRDefault="00C56B1F">
      <w:pPr>
        <w:rPr>
          <w:b/>
          <w:sz w:val="24"/>
          <w:u w:val="single"/>
        </w:rPr>
      </w:pPr>
    </w:p>
    <w:p w14:paraId="5C746241" w14:textId="77777777" w:rsidR="00C56B1F" w:rsidRPr="001E3A0E" w:rsidRDefault="00C56B1F">
      <w:pPr>
        <w:rPr>
          <w:b/>
          <w:sz w:val="24"/>
          <w:u w:val="single"/>
        </w:rPr>
      </w:pPr>
    </w:p>
    <w:p w14:paraId="77EA45E8" w14:textId="77777777" w:rsidR="00C56B1F" w:rsidRPr="001E3A0E" w:rsidRDefault="00C56B1F">
      <w:pPr>
        <w:rPr>
          <w:b/>
          <w:sz w:val="24"/>
          <w:u w:val="single"/>
        </w:rPr>
      </w:pPr>
    </w:p>
    <w:p w14:paraId="7188BD81" w14:textId="77777777" w:rsidR="00C56B1F" w:rsidRPr="001E3A0E" w:rsidRDefault="00C56B1F">
      <w:pPr>
        <w:rPr>
          <w:b/>
          <w:sz w:val="24"/>
          <w:u w:val="single"/>
        </w:rPr>
      </w:pPr>
    </w:p>
    <w:p w14:paraId="25DAF12E" w14:textId="77777777" w:rsidR="00C56B1F" w:rsidRPr="001E3A0E" w:rsidRDefault="00C56B1F">
      <w:pPr>
        <w:rPr>
          <w:b/>
          <w:sz w:val="24"/>
          <w:u w:val="single"/>
        </w:rPr>
      </w:pPr>
    </w:p>
    <w:p w14:paraId="5B633A2A" w14:textId="77777777" w:rsidR="00C56B1F" w:rsidRPr="001E3A0E" w:rsidRDefault="00C56B1F">
      <w:pPr>
        <w:rPr>
          <w:b/>
          <w:sz w:val="24"/>
          <w:u w:val="single"/>
        </w:rPr>
      </w:pPr>
    </w:p>
    <w:p w14:paraId="08BB4FE7" w14:textId="77777777" w:rsidR="00C56B1F" w:rsidRPr="001E3A0E" w:rsidRDefault="00C56B1F">
      <w:pPr>
        <w:rPr>
          <w:b/>
          <w:sz w:val="24"/>
          <w:u w:val="single"/>
        </w:rPr>
      </w:pPr>
    </w:p>
    <w:p w14:paraId="14F500F3" w14:textId="77777777" w:rsidR="00C56B1F" w:rsidRPr="001E3A0E" w:rsidRDefault="00C56B1F">
      <w:pPr>
        <w:rPr>
          <w:b/>
          <w:sz w:val="24"/>
          <w:u w:val="single"/>
        </w:rPr>
      </w:pPr>
    </w:p>
    <w:p w14:paraId="16322E51" w14:textId="77777777" w:rsidR="00C56B1F" w:rsidRPr="001E3A0E" w:rsidRDefault="00C56B1F">
      <w:pPr>
        <w:rPr>
          <w:b/>
          <w:sz w:val="24"/>
          <w:u w:val="single"/>
        </w:rPr>
      </w:pPr>
    </w:p>
    <w:p w14:paraId="1E278A35" w14:textId="77777777" w:rsidR="00C56B1F" w:rsidRPr="001E3A0E" w:rsidRDefault="00C56B1F">
      <w:pPr>
        <w:rPr>
          <w:b/>
          <w:sz w:val="24"/>
          <w:u w:val="single"/>
        </w:rPr>
      </w:pPr>
    </w:p>
    <w:p w14:paraId="6DEDD03E" w14:textId="77777777" w:rsidR="00C56B1F" w:rsidRPr="001E3A0E" w:rsidRDefault="00C56B1F">
      <w:pPr>
        <w:rPr>
          <w:b/>
          <w:sz w:val="24"/>
          <w:u w:val="single"/>
        </w:rPr>
      </w:pPr>
    </w:p>
    <w:p w14:paraId="575AD52E" w14:textId="77777777" w:rsidR="00C56B1F" w:rsidRPr="001E3A0E" w:rsidRDefault="00C56B1F">
      <w:pPr>
        <w:rPr>
          <w:b/>
          <w:sz w:val="24"/>
          <w:u w:val="single"/>
        </w:rPr>
      </w:pPr>
    </w:p>
    <w:p w14:paraId="52B12CE3" w14:textId="77777777" w:rsidR="00C56B1F" w:rsidRPr="001E3A0E" w:rsidRDefault="00C56B1F">
      <w:pPr>
        <w:rPr>
          <w:b/>
          <w:sz w:val="24"/>
          <w:u w:val="single"/>
        </w:rPr>
      </w:pPr>
    </w:p>
    <w:p w14:paraId="7213DEDF" w14:textId="77777777" w:rsidR="00C56B1F" w:rsidRPr="001E3A0E" w:rsidRDefault="00C56B1F">
      <w:pPr>
        <w:rPr>
          <w:b/>
          <w:sz w:val="24"/>
          <w:u w:val="single"/>
        </w:rPr>
      </w:pPr>
    </w:p>
    <w:p w14:paraId="7F5A0C1E" w14:textId="77777777" w:rsidR="00C56B1F" w:rsidRPr="001E3A0E" w:rsidRDefault="00C56B1F">
      <w:pPr>
        <w:rPr>
          <w:b/>
          <w:sz w:val="24"/>
          <w:u w:val="single"/>
        </w:rPr>
      </w:pPr>
    </w:p>
    <w:p w14:paraId="3C8FC586" w14:textId="77777777" w:rsidR="00C56B1F" w:rsidRPr="001E3A0E" w:rsidRDefault="00C56B1F">
      <w:pPr>
        <w:rPr>
          <w:b/>
          <w:sz w:val="24"/>
          <w:u w:val="single"/>
        </w:rPr>
      </w:pPr>
    </w:p>
    <w:p w14:paraId="72996B6F" w14:textId="77777777" w:rsidR="00C56B1F" w:rsidRPr="001E3A0E" w:rsidRDefault="00C56B1F">
      <w:pPr>
        <w:rPr>
          <w:b/>
          <w:sz w:val="24"/>
          <w:u w:val="single"/>
        </w:rPr>
      </w:pPr>
    </w:p>
    <w:p w14:paraId="02BB85A7" w14:textId="77777777" w:rsidR="00C56B1F" w:rsidRPr="001E3A0E" w:rsidRDefault="00C56B1F">
      <w:pPr>
        <w:rPr>
          <w:b/>
          <w:sz w:val="24"/>
          <w:u w:val="single"/>
        </w:rPr>
      </w:pPr>
    </w:p>
    <w:p w14:paraId="6F0302C0" w14:textId="77777777" w:rsidR="00C56B1F" w:rsidRPr="001E3A0E" w:rsidRDefault="00C56B1F">
      <w:pPr>
        <w:rPr>
          <w:b/>
          <w:sz w:val="24"/>
          <w:u w:val="single"/>
        </w:rPr>
      </w:pPr>
    </w:p>
    <w:p w14:paraId="618D6A99" w14:textId="77777777" w:rsidR="00C56B1F" w:rsidRPr="001E3A0E" w:rsidRDefault="00C56B1F">
      <w:pPr>
        <w:rPr>
          <w:b/>
          <w:sz w:val="24"/>
          <w:u w:val="single"/>
        </w:rPr>
      </w:pPr>
    </w:p>
    <w:p w14:paraId="3E110AD8" w14:textId="77777777" w:rsidR="00C84C44" w:rsidRPr="001E3A0E" w:rsidRDefault="00C84C44" w:rsidP="00C84C44">
      <w:pPr>
        <w:jc w:val="center"/>
        <w:rPr>
          <w:sz w:val="24"/>
          <w:lang w:val="nl-NL"/>
        </w:rPr>
      </w:pPr>
    </w:p>
    <w:p w14:paraId="16CE610D" w14:textId="136688DB" w:rsidR="00C84C44" w:rsidRPr="001E3A0E" w:rsidRDefault="00C84C44" w:rsidP="00C84C44">
      <w:pPr>
        <w:rPr>
          <w:sz w:val="24"/>
          <w:lang w:val="nl-NL"/>
        </w:rPr>
      </w:pPr>
      <w:r w:rsidRPr="001E3A0E">
        <w:rPr>
          <w:b/>
          <w:sz w:val="24"/>
          <w:u w:val="single"/>
        </w:rPr>
        <w:lastRenderedPageBreak/>
        <w:t xml:space="preserve">This working paper should </w:t>
      </w:r>
      <w:proofErr w:type="gramStart"/>
      <w:r w:rsidRPr="001E3A0E">
        <w:rPr>
          <w:b/>
          <w:sz w:val="24"/>
          <w:u w:val="single"/>
        </w:rPr>
        <w:t>cited</w:t>
      </w:r>
      <w:proofErr w:type="gramEnd"/>
      <w:r w:rsidRPr="001E3A0E">
        <w:rPr>
          <w:b/>
          <w:sz w:val="24"/>
          <w:u w:val="single"/>
        </w:rPr>
        <w:t xml:space="preserve"> as: </w:t>
      </w:r>
      <w:r w:rsidRPr="001E3A0E">
        <w:rPr>
          <w:sz w:val="24"/>
          <w:lang w:val="nl-NL"/>
        </w:rPr>
        <w:t>Kaskirbayeva D., West R., Jaafari H., King N., Howdon D., Shuweihdi F., Clegg A., Nikolova S.  Progression of frailty as measured by a cumulative deficit index: a systematic review. Leeds: University of Leeds, Academic Unit of Health Ec</w:t>
      </w:r>
      <w:r w:rsidR="00535A1E" w:rsidRPr="001E3A0E">
        <w:rPr>
          <w:sz w:val="24"/>
          <w:lang w:val="nl-NL"/>
        </w:rPr>
        <w:t>onomics; 2022. Available from: https://medicinehealth.leeds.ac.uk/downloads/download/170/auhe_resources</w:t>
      </w:r>
    </w:p>
    <w:p w14:paraId="42DAB0EB" w14:textId="7DDFEA0B" w:rsidR="00C84C44" w:rsidRPr="001E3A0E" w:rsidRDefault="00C84C44" w:rsidP="00C84C44">
      <w:pPr>
        <w:rPr>
          <w:b/>
          <w:sz w:val="24"/>
          <w:lang w:eastAsia="en-US"/>
        </w:rPr>
      </w:pPr>
    </w:p>
    <w:p w14:paraId="2ED9E639" w14:textId="6FE62236" w:rsidR="00C84C44" w:rsidRPr="001E3A0E" w:rsidRDefault="00C84C44" w:rsidP="00C84C44">
      <w:pPr>
        <w:jc w:val="both"/>
        <w:rPr>
          <w:sz w:val="24"/>
          <w:lang w:val="en-US"/>
        </w:rPr>
      </w:pPr>
    </w:p>
    <w:p w14:paraId="093F6140" w14:textId="77777777" w:rsidR="00C56B1F" w:rsidRPr="001E3A0E" w:rsidRDefault="00C56B1F">
      <w:pPr>
        <w:rPr>
          <w:b/>
          <w:sz w:val="24"/>
          <w:u w:val="single"/>
          <w:lang w:val="nl-NL"/>
        </w:rPr>
      </w:pPr>
    </w:p>
    <w:p w14:paraId="5F829CC7" w14:textId="77777777" w:rsidR="00C56B1F" w:rsidRPr="001E3A0E" w:rsidRDefault="00C56B1F">
      <w:pPr>
        <w:rPr>
          <w:b/>
          <w:sz w:val="24"/>
          <w:u w:val="single"/>
        </w:rPr>
      </w:pPr>
    </w:p>
    <w:p w14:paraId="30C577E7" w14:textId="77777777" w:rsidR="00C56B1F" w:rsidRPr="001E3A0E" w:rsidRDefault="00C56B1F">
      <w:pPr>
        <w:rPr>
          <w:b/>
          <w:sz w:val="24"/>
          <w:u w:val="single"/>
        </w:rPr>
      </w:pPr>
    </w:p>
    <w:p w14:paraId="60DB4C47" w14:textId="77777777" w:rsidR="00C84C44" w:rsidRPr="001E3A0E" w:rsidRDefault="00C84C44" w:rsidP="009D4EBF">
      <w:pPr>
        <w:tabs>
          <w:tab w:val="right" w:pos="7200"/>
        </w:tabs>
        <w:spacing w:line="312" w:lineRule="auto"/>
        <w:ind w:right="369"/>
        <w:rPr>
          <w:sz w:val="24"/>
          <w:lang w:val="en-US" w:eastAsia="en-US"/>
        </w:rPr>
      </w:pPr>
    </w:p>
    <w:p w14:paraId="294D5A3D" w14:textId="444D3446" w:rsidR="00787C3C" w:rsidRPr="001E3A0E" w:rsidRDefault="00787C3C" w:rsidP="009D4EBF">
      <w:pPr>
        <w:tabs>
          <w:tab w:val="right" w:pos="7200"/>
        </w:tabs>
        <w:spacing w:line="312" w:lineRule="auto"/>
        <w:ind w:right="369"/>
        <w:rPr>
          <w:sz w:val="24"/>
          <w:lang w:val="en-US" w:eastAsia="en-US"/>
        </w:rPr>
      </w:pPr>
      <w:r w:rsidRPr="001E3A0E">
        <w:rPr>
          <w:sz w:val="24"/>
          <w:lang w:val="en-US" w:eastAsia="en-US"/>
        </w:rPr>
        <w:t>DISCLAIMER</w:t>
      </w:r>
    </w:p>
    <w:p w14:paraId="178BA4EA" w14:textId="77777777" w:rsidR="00D2730F" w:rsidRPr="001E3A0E" w:rsidRDefault="00787C3C" w:rsidP="009D4EBF">
      <w:pPr>
        <w:tabs>
          <w:tab w:val="right" w:pos="7200"/>
        </w:tabs>
        <w:spacing w:line="312" w:lineRule="auto"/>
        <w:ind w:right="369"/>
        <w:rPr>
          <w:sz w:val="24"/>
          <w:lang w:val="en-US" w:eastAsia="en-US"/>
        </w:rPr>
      </w:pPr>
      <w:r w:rsidRPr="001E3A0E">
        <w:rPr>
          <w:sz w:val="24"/>
          <w:lang w:val="en-US" w:eastAsia="en-US"/>
        </w:rPr>
        <w:t>The series enables staff and student researchers based at or affiliated with the AUHE</w:t>
      </w:r>
      <w:r w:rsidRPr="001E3A0E">
        <w:rPr>
          <w:sz w:val="24"/>
          <w:lang w:val="en-US" w:eastAsia="en-US"/>
        </w:rPr>
        <w:tab/>
        <w:t xml:space="preserve"> to make recent work and work in progress available to a wider audience. The work and ideas reported here may not always represent the final position and as such may sometimes need to be treated as work in progress. The material and views expressed in the series are solely those of the authors and should not be quoted without their permission. </w:t>
      </w:r>
    </w:p>
    <w:p w14:paraId="634254CF" w14:textId="77777777" w:rsidR="00D2730F" w:rsidRPr="001E3A0E" w:rsidRDefault="00D2730F" w:rsidP="009D4EBF">
      <w:pPr>
        <w:tabs>
          <w:tab w:val="right" w:pos="7200"/>
        </w:tabs>
        <w:spacing w:line="312" w:lineRule="auto"/>
        <w:ind w:right="369"/>
        <w:rPr>
          <w:sz w:val="24"/>
          <w:lang w:val="en-US" w:eastAsia="en-US"/>
        </w:rPr>
      </w:pPr>
    </w:p>
    <w:p w14:paraId="02BC850F" w14:textId="77777777" w:rsidR="00D2730F" w:rsidRPr="001E3A0E" w:rsidRDefault="00D2730F" w:rsidP="009D4EBF">
      <w:pPr>
        <w:rPr>
          <w:b/>
          <w:sz w:val="24"/>
        </w:rPr>
      </w:pPr>
    </w:p>
    <w:p w14:paraId="15494D98" w14:textId="77777777" w:rsidR="00D2730F" w:rsidRPr="001E3A0E" w:rsidRDefault="00D2730F" w:rsidP="009D4EBF">
      <w:pPr>
        <w:rPr>
          <w:b/>
          <w:sz w:val="24"/>
        </w:rPr>
      </w:pPr>
      <w:r w:rsidRPr="001E3A0E">
        <w:rPr>
          <w:b/>
          <w:sz w:val="24"/>
        </w:rPr>
        <w:t>Additional information</w:t>
      </w:r>
    </w:p>
    <w:p w14:paraId="38327C17" w14:textId="5C9CBD88" w:rsidR="008B0BB8" w:rsidRPr="001E3A0E" w:rsidRDefault="008B0BB8" w:rsidP="009D4EBF">
      <w:pPr>
        <w:spacing w:after="240" w:line="360" w:lineRule="auto"/>
        <w:rPr>
          <w:bCs/>
          <w:i/>
          <w:iCs/>
          <w:sz w:val="24"/>
        </w:rPr>
      </w:pPr>
    </w:p>
    <w:p w14:paraId="041FED05" w14:textId="6CC70299" w:rsidR="0025296C" w:rsidRPr="001E3A0E" w:rsidRDefault="0025296C" w:rsidP="009D4EBF">
      <w:pPr>
        <w:spacing w:after="240" w:line="360" w:lineRule="auto"/>
        <w:rPr>
          <w:bCs/>
          <w:i/>
          <w:iCs/>
          <w:sz w:val="24"/>
        </w:rPr>
      </w:pPr>
      <w:r w:rsidRPr="001E3A0E">
        <w:rPr>
          <w:bCs/>
          <w:i/>
          <w:iCs/>
          <w:sz w:val="24"/>
        </w:rPr>
        <w:t xml:space="preserve">Funding </w:t>
      </w:r>
    </w:p>
    <w:p w14:paraId="29BB9820" w14:textId="77BCBFF0" w:rsidR="0025296C" w:rsidRPr="001E3A0E" w:rsidRDefault="00250DB3" w:rsidP="009D4EBF">
      <w:pPr>
        <w:spacing w:after="240" w:line="360" w:lineRule="auto"/>
        <w:rPr>
          <w:sz w:val="24"/>
          <w:lang w:val="en-US" w:eastAsia="en-US"/>
        </w:rPr>
      </w:pPr>
      <w:r w:rsidRPr="001E3A0E">
        <w:rPr>
          <w:sz w:val="24"/>
          <w:lang w:val="en-US" w:eastAsia="en-US"/>
        </w:rPr>
        <w:t>This research was funded by the National Institute for Health Research (NIHR) under the NIHR Programme Grant for Applied Research (</w:t>
      </w:r>
      <w:proofErr w:type="spellStart"/>
      <w:r w:rsidRPr="001E3A0E">
        <w:rPr>
          <w:sz w:val="24"/>
          <w:lang w:val="en-US" w:eastAsia="en-US"/>
        </w:rPr>
        <w:t>PGfAR</w:t>
      </w:r>
      <w:proofErr w:type="spellEnd"/>
      <w:r w:rsidRPr="001E3A0E">
        <w:rPr>
          <w:sz w:val="24"/>
          <w:lang w:val="en-US" w:eastAsia="en-US"/>
        </w:rPr>
        <w:t>). Award, reference RP-PG-0216-20003. Personalised Care Planning for Older People with Frailty (PROSPER).</w:t>
      </w:r>
      <w:r w:rsidRPr="001E3A0E">
        <w:rPr>
          <w:rFonts w:ascii="Arial" w:hAnsi="Arial" w:cs="Arial"/>
          <w:color w:val="4A4A4A"/>
          <w:sz w:val="24"/>
          <w:shd w:val="clear" w:color="auto" w:fill="FFFFFF"/>
        </w:rPr>
        <w:t> </w:t>
      </w:r>
    </w:p>
    <w:p w14:paraId="3D16A138" w14:textId="4ACC9F56" w:rsidR="00763DB1" w:rsidRPr="001E3A0E" w:rsidRDefault="001C6A09" w:rsidP="009D4EBF">
      <w:pPr>
        <w:spacing w:after="240" w:line="360" w:lineRule="auto"/>
        <w:rPr>
          <w:sz w:val="24"/>
          <w:lang w:val="en-US" w:eastAsia="en-US"/>
        </w:rPr>
      </w:pPr>
      <w:r w:rsidRPr="001E3A0E">
        <w:rPr>
          <w:bCs/>
          <w:i/>
          <w:iCs/>
          <w:sz w:val="24"/>
        </w:rPr>
        <w:t>Conflict of interest</w:t>
      </w:r>
      <w:r w:rsidR="00763DB1" w:rsidRPr="001E3A0E">
        <w:rPr>
          <w:bCs/>
          <w:i/>
          <w:iCs/>
          <w:sz w:val="24"/>
        </w:rPr>
        <w:br/>
      </w:r>
      <w:r w:rsidR="00763DB1" w:rsidRPr="001E3A0E">
        <w:rPr>
          <w:sz w:val="24"/>
          <w:lang w:val="en-US" w:eastAsia="en-US"/>
        </w:rPr>
        <w:t>The authors have no conflicts of interests to declare.</w:t>
      </w:r>
    </w:p>
    <w:p w14:paraId="27099404" w14:textId="6FD2B63A" w:rsidR="0025296C" w:rsidRPr="009441B3" w:rsidRDefault="009441B3" w:rsidP="009D4EBF">
      <w:pPr>
        <w:spacing w:after="240" w:line="360" w:lineRule="auto"/>
        <w:rPr>
          <w:sz w:val="22"/>
          <w:szCs w:val="22"/>
          <w:lang w:val="en-US"/>
        </w:rPr>
      </w:pPr>
      <w:r w:rsidRPr="00303E28">
        <w:rPr>
          <w:bCs/>
          <w:i/>
          <w:iCs/>
          <w:sz w:val="22"/>
          <w:szCs w:val="22"/>
        </w:rPr>
        <w:t>Acknowledgements</w:t>
      </w:r>
      <w:r>
        <w:rPr>
          <w:bCs/>
          <w:sz w:val="22"/>
          <w:szCs w:val="22"/>
        </w:rPr>
        <w:br/>
      </w:r>
      <w:r w:rsidRPr="009441B3">
        <w:rPr>
          <w:sz w:val="24"/>
          <w:lang w:val="en-US" w:eastAsia="en-US"/>
        </w:rPr>
        <w:t>We are grateful to Richard Mattock</w:t>
      </w:r>
      <w:r w:rsidR="00624680">
        <w:rPr>
          <w:sz w:val="24"/>
          <w:lang w:val="en-US" w:eastAsia="en-US"/>
        </w:rPr>
        <w:t xml:space="preserve"> and Bryony Dawkins</w:t>
      </w:r>
      <w:r w:rsidRPr="009441B3">
        <w:rPr>
          <w:sz w:val="24"/>
          <w:lang w:val="en-US" w:eastAsia="en-US"/>
        </w:rPr>
        <w:t xml:space="preserve"> for helpful comments in internal peer review.</w:t>
      </w:r>
    </w:p>
    <w:p w14:paraId="45F14234" w14:textId="77777777" w:rsidR="008B0BB8" w:rsidRPr="001E3A0E" w:rsidRDefault="008B0BB8" w:rsidP="008B0BB8">
      <w:pPr>
        <w:spacing w:after="240" w:line="360" w:lineRule="auto"/>
        <w:jc w:val="both"/>
        <w:rPr>
          <w:sz w:val="24"/>
        </w:rPr>
      </w:pPr>
    </w:p>
    <w:p w14:paraId="5385AFD0" w14:textId="77777777" w:rsidR="008B0BB8" w:rsidRPr="001E3A0E" w:rsidRDefault="008B0BB8">
      <w:pPr>
        <w:rPr>
          <w:b/>
          <w:sz w:val="24"/>
        </w:rPr>
      </w:pPr>
      <w:r w:rsidRPr="001E3A0E">
        <w:rPr>
          <w:b/>
          <w:sz w:val="24"/>
        </w:rPr>
        <w:br w:type="page"/>
      </w:r>
    </w:p>
    <w:p w14:paraId="4AB6A01E" w14:textId="77777777" w:rsidR="007B2FBC" w:rsidRPr="001E3A0E" w:rsidRDefault="007B2FBC" w:rsidP="007B2FBC">
      <w:pPr>
        <w:tabs>
          <w:tab w:val="right" w:pos="7200"/>
        </w:tabs>
        <w:spacing w:line="360" w:lineRule="auto"/>
        <w:ind w:right="-46"/>
        <w:jc w:val="both"/>
        <w:rPr>
          <w:sz w:val="24"/>
        </w:rPr>
        <w:sectPr w:rsidR="007B2FBC" w:rsidRPr="001E3A0E" w:rsidSect="00922DED">
          <w:footerReference w:type="default" r:id="rId12"/>
          <w:headerReference w:type="first" r:id="rId13"/>
          <w:footerReference w:type="first" r:id="rId14"/>
          <w:endnotePr>
            <w:numFmt w:val="decimal"/>
          </w:endnotePr>
          <w:pgSz w:w="11906" w:h="16838" w:code="9"/>
          <w:pgMar w:top="1440" w:right="1440" w:bottom="1440" w:left="1440" w:header="0" w:footer="387" w:gutter="0"/>
          <w:pgNumType w:start="1"/>
          <w:cols w:space="708"/>
          <w:titlePg/>
          <w:docGrid w:linePitch="360"/>
        </w:sectPr>
      </w:pPr>
    </w:p>
    <w:p w14:paraId="56BBD58E" w14:textId="1388B05A" w:rsidR="00885640" w:rsidRPr="001E3A0E" w:rsidRDefault="0078120B" w:rsidP="00885640">
      <w:pPr>
        <w:rPr>
          <w:b/>
          <w:bCs/>
          <w:sz w:val="24"/>
        </w:rPr>
      </w:pPr>
      <w:r w:rsidRPr="001E3A0E">
        <w:rPr>
          <w:b/>
          <w:bCs/>
          <w:sz w:val="24"/>
        </w:rPr>
        <w:t>Abstract</w:t>
      </w:r>
    </w:p>
    <w:p w14:paraId="7EFC96E0" w14:textId="77777777" w:rsidR="00885640" w:rsidRPr="001E3A0E" w:rsidRDefault="00885640" w:rsidP="00885640">
      <w:pPr>
        <w:rPr>
          <w:sz w:val="24"/>
        </w:rPr>
      </w:pPr>
    </w:p>
    <w:p w14:paraId="7FCB59AE" w14:textId="4139FF46" w:rsidR="00885640" w:rsidRPr="001E3A0E" w:rsidRDefault="0025296C" w:rsidP="0025296C">
      <w:pPr>
        <w:spacing w:line="360" w:lineRule="auto"/>
        <w:rPr>
          <w:bCs/>
          <w:sz w:val="24"/>
        </w:rPr>
      </w:pPr>
      <w:r w:rsidRPr="001E3A0E">
        <w:rPr>
          <w:b/>
          <w:bCs/>
          <w:sz w:val="24"/>
        </w:rPr>
        <w:t>Background</w:t>
      </w:r>
      <w:r w:rsidRPr="001E3A0E">
        <w:rPr>
          <w:bCs/>
          <w:sz w:val="24"/>
        </w:rPr>
        <w:t xml:space="preserve">: </w:t>
      </w:r>
      <w:r w:rsidR="00885640" w:rsidRPr="001E3A0E">
        <w:rPr>
          <w:bCs/>
          <w:sz w:val="24"/>
        </w:rPr>
        <w:t xml:space="preserve">Frailty is a risk factor for adverse health outcomes. There is a paucity of literature on frailty progression defined by a cumulative deficit model among community dwelling older people. The objective of this review was to synthesise evidence on </w:t>
      </w:r>
      <w:r w:rsidR="000B7B7D" w:rsidRPr="001E3A0E">
        <w:rPr>
          <w:bCs/>
          <w:sz w:val="24"/>
        </w:rPr>
        <w:t xml:space="preserve">frailty </w:t>
      </w:r>
      <w:r w:rsidR="004E70FE" w:rsidRPr="001E3A0E">
        <w:rPr>
          <w:bCs/>
          <w:sz w:val="24"/>
        </w:rPr>
        <w:t>progression</w:t>
      </w:r>
      <w:r w:rsidR="00885640" w:rsidRPr="001E3A0E">
        <w:rPr>
          <w:bCs/>
          <w:sz w:val="24"/>
        </w:rPr>
        <w:t xml:space="preserve"> and mortality among community-dwelling older people.</w:t>
      </w:r>
    </w:p>
    <w:p w14:paraId="685E2951" w14:textId="03FCFD5B" w:rsidR="00885640" w:rsidRPr="001E3A0E" w:rsidRDefault="00885640" w:rsidP="0025296C">
      <w:pPr>
        <w:spacing w:line="360" w:lineRule="auto"/>
        <w:rPr>
          <w:bCs/>
          <w:sz w:val="24"/>
        </w:rPr>
      </w:pPr>
      <w:r w:rsidRPr="001E3A0E">
        <w:rPr>
          <w:b/>
          <w:bCs/>
          <w:sz w:val="24"/>
        </w:rPr>
        <w:t>Methods</w:t>
      </w:r>
      <w:r w:rsidR="0025296C" w:rsidRPr="001E3A0E">
        <w:rPr>
          <w:b/>
          <w:bCs/>
          <w:sz w:val="24"/>
        </w:rPr>
        <w:t>:</w:t>
      </w:r>
      <w:r w:rsidR="0025296C" w:rsidRPr="001E3A0E">
        <w:rPr>
          <w:bCs/>
          <w:sz w:val="24"/>
        </w:rPr>
        <w:t xml:space="preserve"> </w:t>
      </w:r>
      <w:r w:rsidRPr="001E3A0E">
        <w:rPr>
          <w:bCs/>
          <w:sz w:val="24"/>
        </w:rPr>
        <w:t xml:space="preserve">Six databases (Medline, Embase, CINAHL, Cochrane, </w:t>
      </w:r>
      <w:proofErr w:type="spellStart"/>
      <w:r w:rsidRPr="001E3A0E">
        <w:rPr>
          <w:bCs/>
          <w:sz w:val="24"/>
        </w:rPr>
        <w:t>PsycInfo</w:t>
      </w:r>
      <w:proofErr w:type="spellEnd"/>
      <w:r w:rsidRPr="001E3A0E">
        <w:rPr>
          <w:bCs/>
          <w:sz w:val="24"/>
        </w:rPr>
        <w:t>, Web of Science) and a clinical trials registry were searched in July 2021. The inclusion criteria were studies using a frailty index and providing information on transition between frailty states or to death in community-dwelling older people aged ≥50. Exclusion criteria were studies examining specific health conditions, conference abstracts and non-English studies. To standardise the follow-up period and facilitate comparison, we converted the transition probabilities to annual transition rates.</w:t>
      </w:r>
    </w:p>
    <w:p w14:paraId="673140AC" w14:textId="477173ED" w:rsidR="00885640" w:rsidRPr="001E3A0E" w:rsidRDefault="00885640" w:rsidP="0025296C">
      <w:pPr>
        <w:spacing w:line="360" w:lineRule="auto"/>
        <w:rPr>
          <w:bCs/>
          <w:sz w:val="24"/>
        </w:rPr>
      </w:pPr>
      <w:r w:rsidRPr="001E3A0E">
        <w:rPr>
          <w:b/>
          <w:bCs/>
          <w:sz w:val="24"/>
        </w:rPr>
        <w:t>Results</w:t>
      </w:r>
      <w:r w:rsidR="0025296C" w:rsidRPr="001E3A0E">
        <w:rPr>
          <w:b/>
          <w:bCs/>
          <w:sz w:val="24"/>
        </w:rPr>
        <w:t>:</w:t>
      </w:r>
      <w:r w:rsidR="0025296C" w:rsidRPr="001E3A0E">
        <w:rPr>
          <w:bCs/>
          <w:sz w:val="24"/>
        </w:rPr>
        <w:t xml:space="preserve"> </w:t>
      </w:r>
      <w:r w:rsidRPr="001E3A0E">
        <w:rPr>
          <w:bCs/>
          <w:sz w:val="24"/>
        </w:rPr>
        <w:t xml:space="preserve">Two reviewers independently screened 5078 studies and 61 studies were included for analysis. Of these, only three used the same frailty state cut-points to facilitate cross-cohort comparison. This review found that frailty tends to increase with time, people who are frail at baseline have greater likelihood to progress in frailty and die, and the main factor that accelerates frailty progression is age. Other risk factors for progression are having chronic disease, smoking, obesity, low-income or/and low-education levels.  A frailty index is an accurate predictor of adverse outcomes and death. </w:t>
      </w:r>
    </w:p>
    <w:p w14:paraId="2F8E120B" w14:textId="641CC1C3" w:rsidR="00885640" w:rsidRPr="001E3A0E" w:rsidRDefault="00885640" w:rsidP="0025296C">
      <w:pPr>
        <w:spacing w:line="360" w:lineRule="auto"/>
        <w:rPr>
          <w:bCs/>
          <w:sz w:val="24"/>
        </w:rPr>
      </w:pPr>
      <w:r w:rsidRPr="001E3A0E">
        <w:rPr>
          <w:b/>
          <w:bCs/>
          <w:sz w:val="24"/>
        </w:rPr>
        <w:t>Discussion</w:t>
      </w:r>
      <w:r w:rsidR="0025296C" w:rsidRPr="001E3A0E">
        <w:rPr>
          <w:b/>
          <w:bCs/>
          <w:sz w:val="24"/>
        </w:rPr>
        <w:t>:</w:t>
      </w:r>
      <w:r w:rsidR="0025296C" w:rsidRPr="001E3A0E">
        <w:rPr>
          <w:bCs/>
          <w:sz w:val="24"/>
        </w:rPr>
        <w:t xml:space="preserve"> </w:t>
      </w:r>
      <w:r w:rsidRPr="001E3A0E">
        <w:rPr>
          <w:bCs/>
          <w:sz w:val="24"/>
        </w:rPr>
        <w:t>Thi</w:t>
      </w:r>
      <w:r w:rsidR="00A27137">
        <w:rPr>
          <w:bCs/>
          <w:sz w:val="24"/>
        </w:rPr>
        <w:t>s systematic review demonstrates</w:t>
      </w:r>
      <w:r w:rsidRPr="001E3A0E">
        <w:rPr>
          <w:bCs/>
          <w:sz w:val="24"/>
        </w:rPr>
        <w:t xml:space="preserve"> that worsening in frailty was a common frailty transition, and older people who are frail at baseline are more likely to die. A frailty index has significant power to predict adverse health outcomes. It is a useful tool for within-cohort comparison but there are challenges comparing different cohorts due to dependence of frailty progression on age and differences in how </w:t>
      </w:r>
      <w:r w:rsidR="000B7B7D" w:rsidRPr="001E3A0E">
        <w:rPr>
          <w:bCs/>
          <w:sz w:val="24"/>
        </w:rPr>
        <w:t xml:space="preserve">a </w:t>
      </w:r>
      <w:r w:rsidRPr="001E3A0E">
        <w:rPr>
          <w:bCs/>
          <w:sz w:val="24"/>
        </w:rPr>
        <w:t xml:space="preserve">frailty index is defined and measured.    </w:t>
      </w:r>
    </w:p>
    <w:p w14:paraId="7856F141" w14:textId="77777777" w:rsidR="00885640" w:rsidRPr="001E3A0E" w:rsidRDefault="00885640" w:rsidP="00885640">
      <w:pPr>
        <w:rPr>
          <w:bCs/>
          <w:sz w:val="24"/>
        </w:rPr>
      </w:pPr>
    </w:p>
    <w:p w14:paraId="3A7252D5" w14:textId="60E9655A" w:rsidR="00C84C44" w:rsidRPr="001E3A0E" w:rsidRDefault="00885640" w:rsidP="00885640">
      <w:pPr>
        <w:rPr>
          <w:i/>
          <w:sz w:val="24"/>
          <w:lang w:val="en-US" w:eastAsia="en-US"/>
        </w:rPr>
      </w:pPr>
      <w:r w:rsidRPr="001E3A0E">
        <w:rPr>
          <w:i/>
          <w:sz w:val="24"/>
          <w:lang w:val="en-US" w:eastAsia="en-US"/>
        </w:rPr>
        <w:t xml:space="preserve">Key words: </w:t>
      </w:r>
      <w:r w:rsidRPr="001E3A0E">
        <w:rPr>
          <w:bCs/>
          <w:sz w:val="24"/>
        </w:rPr>
        <w:t>frailty, progression, cumulative deficit model, community-dwelling older people, systematic literature review</w:t>
      </w:r>
      <w:r w:rsidRPr="001E3A0E">
        <w:rPr>
          <w:i/>
          <w:sz w:val="24"/>
          <w:lang w:val="en-US" w:eastAsia="en-US"/>
        </w:rPr>
        <w:t xml:space="preserve"> </w:t>
      </w:r>
    </w:p>
    <w:p w14:paraId="52A054AE" w14:textId="77777777" w:rsidR="0025296C" w:rsidRPr="001E3A0E" w:rsidRDefault="0025296C" w:rsidP="00885640">
      <w:pPr>
        <w:rPr>
          <w:sz w:val="24"/>
        </w:rPr>
      </w:pPr>
    </w:p>
    <w:p w14:paraId="74E226A0" w14:textId="2DC42D14" w:rsidR="0025296C" w:rsidRPr="001E3A0E" w:rsidRDefault="0025296C" w:rsidP="00885640">
      <w:pPr>
        <w:rPr>
          <w:i/>
          <w:sz w:val="24"/>
          <w:lang w:val="en-US" w:eastAsia="en-US"/>
        </w:rPr>
      </w:pPr>
      <w:r w:rsidRPr="001E3A0E">
        <w:rPr>
          <w:b/>
          <w:sz w:val="24"/>
        </w:rPr>
        <w:t>JEL Codes</w:t>
      </w:r>
      <w:r w:rsidRPr="001E3A0E">
        <w:rPr>
          <w:sz w:val="24"/>
        </w:rPr>
        <w:t>: I0, I12, I14</w:t>
      </w:r>
    </w:p>
    <w:p w14:paraId="27159511" w14:textId="639070FB" w:rsidR="00C84C44" w:rsidRPr="001E3A0E" w:rsidRDefault="00C84C44">
      <w:pPr>
        <w:rPr>
          <w:i/>
          <w:sz w:val="24"/>
          <w:lang w:val="en-US" w:eastAsia="en-US"/>
        </w:rPr>
      </w:pPr>
      <w:r w:rsidRPr="001E3A0E">
        <w:rPr>
          <w:i/>
          <w:sz w:val="24"/>
          <w:lang w:val="en-US" w:eastAsia="en-US"/>
        </w:rPr>
        <w:br w:type="page"/>
      </w:r>
    </w:p>
    <w:p w14:paraId="19309A04" w14:textId="77777777" w:rsidR="00885640" w:rsidRPr="001E3A0E" w:rsidRDefault="00885640" w:rsidP="00C84C44">
      <w:pPr>
        <w:pStyle w:val="Heading1"/>
        <w:numPr>
          <w:ilvl w:val="0"/>
          <w:numId w:val="0"/>
        </w:numPr>
        <w:spacing w:line="360" w:lineRule="auto"/>
        <w:ind w:left="357"/>
        <w:rPr>
          <w:rFonts w:cs="Times New Roman"/>
          <w:b w:val="0"/>
          <w:sz w:val="24"/>
          <w:szCs w:val="24"/>
        </w:rPr>
      </w:pPr>
      <w:r w:rsidRPr="001E3A0E">
        <w:rPr>
          <w:rFonts w:cs="Times New Roman"/>
          <w:sz w:val="24"/>
          <w:szCs w:val="24"/>
        </w:rPr>
        <w:t>1. Introduction</w:t>
      </w:r>
    </w:p>
    <w:p w14:paraId="51CBD931" w14:textId="77777777" w:rsidR="000B7B7D" w:rsidRPr="001E3A0E" w:rsidRDefault="00885640" w:rsidP="00885640">
      <w:pPr>
        <w:autoSpaceDE w:val="0"/>
        <w:autoSpaceDN w:val="0"/>
        <w:adjustRightInd w:val="0"/>
        <w:spacing w:line="360" w:lineRule="auto"/>
        <w:ind w:firstLine="720"/>
        <w:jc w:val="both"/>
        <w:rPr>
          <w:sz w:val="24"/>
        </w:rPr>
      </w:pPr>
      <w:r w:rsidRPr="001E3A0E">
        <w:rPr>
          <w:sz w:val="24"/>
        </w:rPr>
        <w:t xml:space="preserve">Ageing is associated with increased probability of ill health </w:t>
      </w:r>
      <w:r w:rsidRPr="001E3A0E">
        <w:rPr>
          <w:noProof/>
          <w:sz w:val="24"/>
        </w:rPr>
        <w:t>(Clegg et al., 2013)</w:t>
      </w:r>
      <w:r w:rsidRPr="001E3A0E">
        <w:rPr>
          <w:sz w:val="24"/>
        </w:rPr>
        <w:t xml:space="preserve">, poor quality of life </w:t>
      </w:r>
      <w:r w:rsidRPr="001E3A0E">
        <w:rPr>
          <w:noProof/>
          <w:sz w:val="24"/>
        </w:rPr>
        <w:t>(Nikolova et al., 2020)</w:t>
      </w:r>
      <w:r w:rsidRPr="001E3A0E">
        <w:rPr>
          <w:sz w:val="24"/>
        </w:rPr>
        <w:t xml:space="preserve">, hospitalisation </w:t>
      </w:r>
      <w:r w:rsidRPr="001E3A0E">
        <w:rPr>
          <w:noProof/>
          <w:sz w:val="24"/>
        </w:rPr>
        <w:t>(Kojima, 2016)</w:t>
      </w:r>
      <w:r w:rsidRPr="001E3A0E">
        <w:rPr>
          <w:sz w:val="24"/>
        </w:rPr>
        <w:t xml:space="preserve"> and death </w:t>
      </w:r>
      <w:r w:rsidRPr="001E3A0E">
        <w:rPr>
          <w:noProof/>
          <w:sz w:val="24"/>
        </w:rPr>
        <w:t>(Shamliyan et al., 2013, Chang and Lin, 2015, Kojima et al., 2018)</w:t>
      </w:r>
      <w:r w:rsidRPr="001E3A0E">
        <w:rPr>
          <w:sz w:val="24"/>
        </w:rPr>
        <w:t xml:space="preserve">. Individuals of the same age can differ greatly in terms of their underlying health </w:t>
      </w:r>
      <w:r w:rsidRPr="001E3A0E">
        <w:rPr>
          <w:noProof/>
          <w:sz w:val="24"/>
        </w:rPr>
        <w:t>(Mitnitski and Rockwood, 2015)</w:t>
      </w:r>
      <w:r w:rsidRPr="001E3A0E">
        <w:rPr>
          <w:sz w:val="24"/>
        </w:rPr>
        <w:t xml:space="preserve"> and associated vulnerability to adverse outcomes. This variability in vulnerability is often referred to as frailty </w:t>
      </w:r>
      <w:r w:rsidRPr="001E3A0E">
        <w:rPr>
          <w:noProof/>
          <w:sz w:val="24"/>
        </w:rPr>
        <w:t>(Clegg et al., 2013)</w:t>
      </w:r>
      <w:r w:rsidRPr="001E3A0E">
        <w:rPr>
          <w:sz w:val="24"/>
        </w:rPr>
        <w:t xml:space="preserve">. </w:t>
      </w:r>
    </w:p>
    <w:p w14:paraId="78915328" w14:textId="396F5641" w:rsidR="00885640" w:rsidRPr="001E3A0E" w:rsidRDefault="00885640" w:rsidP="00885640">
      <w:pPr>
        <w:autoSpaceDE w:val="0"/>
        <w:autoSpaceDN w:val="0"/>
        <w:adjustRightInd w:val="0"/>
        <w:spacing w:line="360" w:lineRule="auto"/>
        <w:ind w:firstLine="720"/>
        <w:jc w:val="both"/>
        <w:rPr>
          <w:sz w:val="24"/>
        </w:rPr>
      </w:pPr>
      <w:r w:rsidRPr="001E3A0E">
        <w:rPr>
          <w:sz w:val="24"/>
        </w:rPr>
        <w:t>There are two established models of frailty: the phenotype model and cumulative deficit model. The phenotype model of frailty is based on the five physical characteristics as reported in the original Cardiovascular Health Study (slow walking speed, weight loss, exhaustion, weak grip strength, low energy expenditure). These physical components enable categorisation into three states: non-frail, pre-</w:t>
      </w:r>
      <w:proofErr w:type="gramStart"/>
      <w:r w:rsidRPr="001E3A0E">
        <w:rPr>
          <w:sz w:val="24"/>
        </w:rPr>
        <w:t>frail</w:t>
      </w:r>
      <w:proofErr w:type="gramEnd"/>
      <w:r w:rsidRPr="001E3A0E">
        <w:rPr>
          <w:sz w:val="24"/>
        </w:rPr>
        <w:t xml:space="preserve"> or frail </w:t>
      </w:r>
      <w:r w:rsidRPr="001E3A0E">
        <w:rPr>
          <w:noProof/>
          <w:sz w:val="24"/>
        </w:rPr>
        <w:t>(Fried et al., 2001)</w:t>
      </w:r>
      <w:r w:rsidRPr="001E3A0E">
        <w:rPr>
          <w:sz w:val="24"/>
        </w:rPr>
        <w:t xml:space="preserve">. Evidence on transitions between states of the phenotype model and death has been recently summarised </w:t>
      </w:r>
      <w:r w:rsidRPr="001E3A0E">
        <w:rPr>
          <w:noProof/>
          <w:sz w:val="24"/>
        </w:rPr>
        <w:t>(Kojima et al., 2019)</w:t>
      </w:r>
      <w:r w:rsidRPr="001E3A0E">
        <w:rPr>
          <w:sz w:val="24"/>
        </w:rPr>
        <w:t xml:space="preserve">. The cumulative deficit model counts the number of health deficits, including cognition, </w:t>
      </w:r>
      <w:proofErr w:type="gramStart"/>
      <w:r w:rsidRPr="001E3A0E">
        <w:rPr>
          <w:sz w:val="24"/>
        </w:rPr>
        <w:t>mood</w:t>
      </w:r>
      <w:proofErr w:type="gramEnd"/>
      <w:r w:rsidRPr="001E3A0E">
        <w:rPr>
          <w:sz w:val="24"/>
        </w:rPr>
        <w:t xml:space="preserve"> and social support </w:t>
      </w:r>
      <w:r w:rsidRPr="001E3A0E">
        <w:rPr>
          <w:noProof/>
          <w:sz w:val="24"/>
        </w:rPr>
        <w:t>(Mitnitski et al., 2001)</w:t>
      </w:r>
      <w:r w:rsidRPr="001E3A0E">
        <w:rPr>
          <w:sz w:val="24"/>
        </w:rPr>
        <w:t xml:space="preserve">. Owing to this more comprehensive information on health, the cumulative deficit model is considered more sensitive to modifications in underlying health than the phenotype frailty </w:t>
      </w:r>
      <w:r w:rsidRPr="001E3A0E">
        <w:rPr>
          <w:noProof/>
          <w:sz w:val="24"/>
        </w:rPr>
        <w:t>(Cesari et al., 2014)</w:t>
      </w:r>
      <w:r w:rsidRPr="001E3A0E">
        <w:rPr>
          <w:sz w:val="24"/>
        </w:rPr>
        <w:t xml:space="preserve">, and a more accurate predictor of mortality </w:t>
      </w:r>
      <w:r w:rsidRPr="001E3A0E">
        <w:rPr>
          <w:noProof/>
          <w:sz w:val="24"/>
        </w:rPr>
        <w:t>(Kojima et al., 2018)</w:t>
      </w:r>
      <w:r w:rsidRPr="001E3A0E">
        <w:rPr>
          <w:sz w:val="24"/>
        </w:rPr>
        <w:t>. Thus, the cumulative</w:t>
      </w:r>
      <w:r w:rsidR="000B7B7D" w:rsidRPr="001E3A0E">
        <w:rPr>
          <w:sz w:val="24"/>
        </w:rPr>
        <w:t xml:space="preserve"> deficit </w:t>
      </w:r>
      <w:r w:rsidRPr="001E3A0E">
        <w:rPr>
          <w:sz w:val="24"/>
        </w:rPr>
        <w:t xml:space="preserve">model may be a more useful tool to explore changes in health </w:t>
      </w:r>
      <w:r w:rsidRPr="001E3A0E">
        <w:rPr>
          <w:noProof/>
          <w:sz w:val="24"/>
        </w:rPr>
        <w:t>(Mitnitski and Rockwood, 2015)</w:t>
      </w:r>
      <w:r w:rsidRPr="001E3A0E">
        <w:rPr>
          <w:sz w:val="24"/>
        </w:rPr>
        <w:t xml:space="preserve"> in response to interventions to improve frailty-related outcomes </w:t>
      </w:r>
      <w:r w:rsidRPr="001E3A0E">
        <w:rPr>
          <w:noProof/>
          <w:sz w:val="24"/>
        </w:rPr>
        <w:t>(Cesari et al., 2014)</w:t>
      </w:r>
      <w:r w:rsidRPr="001E3A0E">
        <w:rPr>
          <w:sz w:val="24"/>
        </w:rPr>
        <w:t xml:space="preserve">. </w:t>
      </w:r>
    </w:p>
    <w:p w14:paraId="7A301F36" w14:textId="77777777" w:rsidR="00885640" w:rsidRPr="001E3A0E" w:rsidRDefault="00885640" w:rsidP="00885640">
      <w:pPr>
        <w:autoSpaceDE w:val="0"/>
        <w:autoSpaceDN w:val="0"/>
        <w:adjustRightInd w:val="0"/>
        <w:spacing w:line="360" w:lineRule="auto"/>
        <w:ind w:firstLine="720"/>
        <w:jc w:val="both"/>
        <w:rPr>
          <w:sz w:val="24"/>
        </w:rPr>
      </w:pPr>
      <w:r w:rsidRPr="001E3A0E">
        <w:rPr>
          <w:sz w:val="24"/>
        </w:rPr>
        <w:t xml:space="preserve">A frailty index (FI) is calculated by dividing the number of present health deficits by the total number of deficits measured. The FI can take value from 0.0-1.0, where a higher score is associated, on average, with higher frailty. This continuous variable is useful when frailty is assessed at the individual level. To operationalise the frailty index for clinical use, it is usually categorised into a small number of ordered states based on established cut-points </w:t>
      </w:r>
      <w:r w:rsidRPr="001E3A0E">
        <w:rPr>
          <w:noProof/>
          <w:sz w:val="24"/>
        </w:rPr>
        <w:t>(Hoover et al., 2013)</w:t>
      </w:r>
      <w:r w:rsidRPr="001E3A0E">
        <w:rPr>
          <w:sz w:val="24"/>
        </w:rPr>
        <w:t xml:space="preserve">. A set of standard criteria which include counting only deficits associated with health status, have increasing prevalence with age and cover a range of physiological systems is available to guide operationalisation of the frailty index </w:t>
      </w:r>
      <w:r w:rsidRPr="001E3A0E">
        <w:rPr>
          <w:noProof/>
          <w:sz w:val="24"/>
        </w:rPr>
        <w:t>(Searle et al., 2008)</w:t>
      </w:r>
      <w:r w:rsidRPr="001E3A0E">
        <w:rPr>
          <w:sz w:val="24"/>
        </w:rPr>
        <w:t xml:space="preserve">. This suggests that frailty indices implemented in different samples can be based on different deficits when exploring changes in health. There is however a paucity of literature on progression in frailty defined by FI among community-dwelling older people. </w:t>
      </w:r>
    </w:p>
    <w:p w14:paraId="232A5A39" w14:textId="6B6209E7" w:rsidR="00885640" w:rsidRPr="001E3A0E" w:rsidRDefault="00885640" w:rsidP="00885640">
      <w:pPr>
        <w:autoSpaceDE w:val="0"/>
        <w:autoSpaceDN w:val="0"/>
        <w:adjustRightInd w:val="0"/>
        <w:spacing w:line="360" w:lineRule="auto"/>
        <w:ind w:firstLine="720"/>
        <w:jc w:val="both"/>
        <w:rPr>
          <w:sz w:val="24"/>
        </w:rPr>
      </w:pPr>
      <w:r w:rsidRPr="001E3A0E">
        <w:rPr>
          <w:sz w:val="24"/>
        </w:rPr>
        <w:t>The aim of this review is to synthesise the evidence on changes in health and mortality when changes are operationalised as transitions between</w:t>
      </w:r>
      <w:r w:rsidR="000B7B7D" w:rsidRPr="001E3A0E">
        <w:rPr>
          <w:sz w:val="24"/>
        </w:rPr>
        <w:t xml:space="preserve"> frailty</w:t>
      </w:r>
      <w:r w:rsidRPr="001E3A0E">
        <w:rPr>
          <w:sz w:val="24"/>
        </w:rPr>
        <w:t xml:space="preserve"> states of a cumulative</w:t>
      </w:r>
      <w:r w:rsidR="000B7B7D" w:rsidRPr="001E3A0E">
        <w:rPr>
          <w:sz w:val="24"/>
        </w:rPr>
        <w:t xml:space="preserve"> deficit</w:t>
      </w:r>
      <w:r w:rsidRPr="001E3A0E">
        <w:rPr>
          <w:sz w:val="24"/>
        </w:rPr>
        <w:t xml:space="preserve"> model. We sought to explore whether changes could be summarised, to what extent these changes depend on baseline health and age and how often improvement occurred relative to deterioration.</w:t>
      </w:r>
    </w:p>
    <w:p w14:paraId="2AD3FD12" w14:textId="77777777" w:rsidR="00885640" w:rsidRPr="001E3A0E" w:rsidRDefault="00885640" w:rsidP="00885640">
      <w:pPr>
        <w:autoSpaceDE w:val="0"/>
        <w:autoSpaceDN w:val="0"/>
        <w:adjustRightInd w:val="0"/>
        <w:spacing w:line="360" w:lineRule="auto"/>
        <w:rPr>
          <w:sz w:val="24"/>
        </w:rPr>
      </w:pPr>
    </w:p>
    <w:p w14:paraId="21A07681" w14:textId="77777777" w:rsidR="00885640" w:rsidRPr="001E3A0E" w:rsidRDefault="00885640" w:rsidP="00C84C44">
      <w:pPr>
        <w:pStyle w:val="Heading1"/>
        <w:numPr>
          <w:ilvl w:val="0"/>
          <w:numId w:val="0"/>
        </w:numPr>
        <w:spacing w:line="360" w:lineRule="auto"/>
        <w:ind w:left="357"/>
        <w:rPr>
          <w:rFonts w:cs="Times New Roman"/>
          <w:b w:val="0"/>
          <w:sz w:val="24"/>
          <w:szCs w:val="24"/>
        </w:rPr>
      </w:pPr>
      <w:r w:rsidRPr="001E3A0E">
        <w:rPr>
          <w:rFonts w:cs="Times New Roman"/>
          <w:sz w:val="24"/>
          <w:szCs w:val="24"/>
        </w:rPr>
        <w:t>2. Method</w:t>
      </w:r>
    </w:p>
    <w:p w14:paraId="23EEF9F9" w14:textId="77777777" w:rsidR="00885640" w:rsidRPr="001E3A0E" w:rsidRDefault="00885640" w:rsidP="00885640">
      <w:pPr>
        <w:spacing w:line="360" w:lineRule="auto"/>
        <w:rPr>
          <w:sz w:val="24"/>
        </w:rPr>
      </w:pPr>
      <w:r w:rsidRPr="001E3A0E">
        <w:rPr>
          <w:i/>
          <w:iCs/>
          <w:sz w:val="24"/>
        </w:rPr>
        <w:t>2.1. Protocol</w:t>
      </w:r>
      <w:r w:rsidRPr="001E3A0E">
        <w:rPr>
          <w:sz w:val="24"/>
        </w:rPr>
        <w:t xml:space="preserve"> </w:t>
      </w:r>
    </w:p>
    <w:p w14:paraId="21F88765" w14:textId="77777777" w:rsidR="00885640" w:rsidRPr="001E3A0E" w:rsidRDefault="00885640" w:rsidP="00885640">
      <w:pPr>
        <w:spacing w:line="360" w:lineRule="auto"/>
        <w:ind w:firstLine="720"/>
        <w:rPr>
          <w:sz w:val="24"/>
        </w:rPr>
      </w:pPr>
      <w:r w:rsidRPr="001E3A0E">
        <w:rPr>
          <w:sz w:val="24"/>
        </w:rPr>
        <w:t xml:space="preserve">A review protocol was developed in accordance with the Preferred Reporting Items for Systematic review (PRISMA) statement </w:t>
      </w:r>
      <w:r w:rsidRPr="001E3A0E">
        <w:rPr>
          <w:noProof/>
          <w:sz w:val="24"/>
        </w:rPr>
        <w:t>(Moher et al., 2015)</w:t>
      </w:r>
      <w:r w:rsidRPr="001E3A0E">
        <w:rPr>
          <w:sz w:val="24"/>
        </w:rPr>
        <w:t>.</w:t>
      </w:r>
    </w:p>
    <w:p w14:paraId="566F0189" w14:textId="77777777" w:rsidR="00885640" w:rsidRPr="001E3A0E" w:rsidRDefault="00885640" w:rsidP="00885640">
      <w:pPr>
        <w:spacing w:line="360" w:lineRule="auto"/>
        <w:rPr>
          <w:sz w:val="24"/>
        </w:rPr>
      </w:pPr>
    </w:p>
    <w:p w14:paraId="7B9AC86C" w14:textId="77777777" w:rsidR="00885640" w:rsidRPr="001E3A0E" w:rsidRDefault="00885640" w:rsidP="00885640">
      <w:pPr>
        <w:spacing w:line="360" w:lineRule="auto"/>
        <w:rPr>
          <w:sz w:val="24"/>
        </w:rPr>
      </w:pPr>
      <w:r w:rsidRPr="001E3A0E">
        <w:rPr>
          <w:i/>
          <w:iCs/>
          <w:sz w:val="24"/>
        </w:rPr>
        <w:t>2.2. Search</w:t>
      </w:r>
      <w:r w:rsidRPr="001E3A0E">
        <w:rPr>
          <w:sz w:val="24"/>
        </w:rPr>
        <w:t xml:space="preserve"> </w:t>
      </w:r>
      <w:r w:rsidRPr="001E3A0E">
        <w:rPr>
          <w:i/>
          <w:iCs/>
          <w:sz w:val="24"/>
        </w:rPr>
        <w:t>Strategy</w:t>
      </w:r>
      <w:r w:rsidRPr="001E3A0E">
        <w:rPr>
          <w:sz w:val="24"/>
        </w:rPr>
        <w:t xml:space="preserve"> </w:t>
      </w:r>
    </w:p>
    <w:p w14:paraId="7C07C766" w14:textId="77777777" w:rsidR="00885640" w:rsidRPr="001E3A0E" w:rsidRDefault="00885640" w:rsidP="00885640">
      <w:pPr>
        <w:shd w:val="clear" w:color="auto" w:fill="FFFFFF"/>
        <w:spacing w:line="360" w:lineRule="auto"/>
        <w:ind w:firstLine="720"/>
        <w:jc w:val="both"/>
        <w:rPr>
          <w:sz w:val="24"/>
        </w:rPr>
      </w:pPr>
      <w:r w:rsidRPr="001E3A0E">
        <w:rPr>
          <w:sz w:val="24"/>
        </w:rPr>
        <w:t>In June 2020 we conducted searches to determine the rate of progression of frailty for groups defined by risk factors using the search strategy and search terms published in the review by Kojima et al.</w:t>
      </w:r>
      <w:r w:rsidRPr="001E3A0E">
        <w:rPr>
          <w:noProof/>
          <w:sz w:val="24"/>
        </w:rPr>
        <w:t xml:space="preserve"> (Kojima et al., 2019)</w:t>
      </w:r>
      <w:r w:rsidRPr="001E3A0E">
        <w:rPr>
          <w:sz w:val="24"/>
        </w:rPr>
        <w:t xml:space="preserve">. These searches were rerun in full on 13th July 2021 using the same strategies and date limits in </w:t>
      </w:r>
      <w:r w:rsidRPr="001E3A0E">
        <w:rPr>
          <w:rFonts w:eastAsia="Calibri"/>
          <w:sz w:val="24"/>
        </w:rPr>
        <w:t xml:space="preserve">Ovid MEDLINE(R) all Embase (Ovid), APA </w:t>
      </w:r>
      <w:proofErr w:type="spellStart"/>
      <w:r w:rsidRPr="001E3A0E">
        <w:rPr>
          <w:rFonts w:eastAsia="Calibri"/>
          <w:sz w:val="24"/>
        </w:rPr>
        <w:t>PsycInfo</w:t>
      </w:r>
      <w:proofErr w:type="spellEnd"/>
      <w:r w:rsidRPr="001E3A0E">
        <w:rPr>
          <w:rFonts w:eastAsia="Calibri"/>
          <w:sz w:val="24"/>
        </w:rPr>
        <w:t xml:space="preserve"> (Ovid), </w:t>
      </w:r>
      <w:r w:rsidRPr="001E3A0E">
        <w:rPr>
          <w:sz w:val="24"/>
        </w:rPr>
        <w:t xml:space="preserve">CINAHL (EBSCOhost), CENTRAL (Wiley), Web of Science Core Collection: Citation Indexes (Clarivate Analytics) and ClinicalTrials.gov (U.S. NIH). The Medline strategy was originally run using the Ovid MEDLINE(R) and </w:t>
      </w:r>
      <w:proofErr w:type="spellStart"/>
      <w:r w:rsidRPr="001E3A0E">
        <w:rPr>
          <w:sz w:val="24"/>
        </w:rPr>
        <w:t>Epub</w:t>
      </w:r>
      <w:proofErr w:type="spellEnd"/>
      <w:r w:rsidRPr="001E3A0E">
        <w:rPr>
          <w:sz w:val="24"/>
        </w:rPr>
        <w:t xml:space="preserve"> Ahead of Print, In-Process &amp; Other Non-Indexed Citations and Daily interface database which was no longer available when we reran the searches. Since the frailty index was introduced in 2001 </w:t>
      </w:r>
      <w:r w:rsidRPr="001E3A0E">
        <w:rPr>
          <w:noProof/>
          <w:sz w:val="24"/>
        </w:rPr>
        <w:t>(Mitnitski et al., 2001)</w:t>
      </w:r>
      <w:r w:rsidRPr="001E3A0E">
        <w:rPr>
          <w:sz w:val="24"/>
        </w:rPr>
        <w:t xml:space="preserve"> we limited our search to articles published from 2000. The search strategies were peer reviewed by an information specialist using the PRESS checklist </w:t>
      </w:r>
      <w:r w:rsidRPr="001E3A0E">
        <w:rPr>
          <w:noProof/>
          <w:sz w:val="24"/>
        </w:rPr>
        <w:t>(McGowan et al., 2016)</w:t>
      </w:r>
      <w:r w:rsidRPr="001E3A0E">
        <w:rPr>
          <w:sz w:val="24"/>
        </w:rPr>
        <w:t xml:space="preserve">. </w:t>
      </w:r>
    </w:p>
    <w:p w14:paraId="5179911C" w14:textId="77777777" w:rsidR="00885640" w:rsidRPr="001E3A0E" w:rsidRDefault="00885640" w:rsidP="00885640">
      <w:pPr>
        <w:shd w:val="clear" w:color="auto" w:fill="FFFFFF"/>
        <w:spacing w:line="360" w:lineRule="auto"/>
        <w:ind w:firstLine="720"/>
        <w:jc w:val="both"/>
        <w:rPr>
          <w:sz w:val="24"/>
        </w:rPr>
      </w:pPr>
      <w:r w:rsidRPr="001E3A0E">
        <w:rPr>
          <w:sz w:val="24"/>
        </w:rPr>
        <w:t xml:space="preserve">The results of the database searches were stored and de-duplicated in an EndNote X9 library. Further relevant studies were sought by citation searching (backwards) of the included studies. </w:t>
      </w:r>
    </w:p>
    <w:p w14:paraId="3FC0BF28" w14:textId="77777777" w:rsidR="00885640" w:rsidRPr="001E3A0E" w:rsidRDefault="00885640" w:rsidP="00885640">
      <w:pPr>
        <w:spacing w:line="360" w:lineRule="auto"/>
        <w:rPr>
          <w:sz w:val="24"/>
        </w:rPr>
      </w:pPr>
    </w:p>
    <w:p w14:paraId="60722F28" w14:textId="77777777" w:rsidR="00885640" w:rsidRPr="001E3A0E" w:rsidRDefault="00885640" w:rsidP="00885640">
      <w:pPr>
        <w:spacing w:line="360" w:lineRule="auto"/>
        <w:rPr>
          <w:i/>
          <w:iCs/>
          <w:sz w:val="24"/>
        </w:rPr>
      </w:pPr>
      <w:r w:rsidRPr="001E3A0E">
        <w:rPr>
          <w:i/>
          <w:iCs/>
          <w:sz w:val="24"/>
        </w:rPr>
        <w:t>2.3. Study selection</w:t>
      </w:r>
    </w:p>
    <w:p w14:paraId="1787F244" w14:textId="5588CC23" w:rsidR="00885640" w:rsidRPr="001E3A0E" w:rsidRDefault="00885640" w:rsidP="00885640">
      <w:pPr>
        <w:shd w:val="clear" w:color="auto" w:fill="FFFFFF"/>
        <w:spacing w:line="360" w:lineRule="auto"/>
        <w:ind w:firstLine="720"/>
        <w:jc w:val="both"/>
        <w:rPr>
          <w:sz w:val="24"/>
        </w:rPr>
      </w:pPr>
      <w:r w:rsidRPr="001E3A0E">
        <w:rPr>
          <w:sz w:val="24"/>
        </w:rPr>
        <w:t xml:space="preserve">As opposed </w:t>
      </w:r>
      <w:r w:rsidR="000B7B7D" w:rsidRPr="001E3A0E">
        <w:rPr>
          <w:sz w:val="24"/>
        </w:rPr>
        <w:t xml:space="preserve">to the review by </w:t>
      </w:r>
      <w:r w:rsidRPr="001E3A0E">
        <w:rPr>
          <w:noProof/>
          <w:sz w:val="24"/>
        </w:rPr>
        <w:t>Kojima et al. (2019)</w:t>
      </w:r>
      <w:r w:rsidR="000B7B7D" w:rsidRPr="001E3A0E">
        <w:rPr>
          <w:noProof/>
          <w:sz w:val="24"/>
        </w:rPr>
        <w:t>, who</w:t>
      </w:r>
      <w:r w:rsidRPr="001E3A0E">
        <w:rPr>
          <w:sz w:val="24"/>
        </w:rPr>
        <w:t xml:space="preserve"> synthesised evidence of transitions between frailty states with phenotypic frailty defined by </w:t>
      </w:r>
      <w:r w:rsidRPr="001E3A0E">
        <w:rPr>
          <w:noProof/>
          <w:sz w:val="24"/>
        </w:rPr>
        <w:t>Fried et al. (2001)</w:t>
      </w:r>
      <w:r w:rsidRPr="001E3A0E">
        <w:rPr>
          <w:sz w:val="24"/>
        </w:rPr>
        <w:t xml:space="preserve"> we limited our search to articles where frailty is defined by a frailty index defined by </w:t>
      </w:r>
      <w:r w:rsidRPr="001E3A0E">
        <w:rPr>
          <w:noProof/>
          <w:sz w:val="24"/>
        </w:rPr>
        <w:t>Mitnitski et al. (2001)</w:t>
      </w:r>
      <w:r w:rsidRPr="001E3A0E">
        <w:rPr>
          <w:sz w:val="24"/>
        </w:rPr>
        <w:t xml:space="preserve">. </w:t>
      </w:r>
    </w:p>
    <w:p w14:paraId="5565E149" w14:textId="78E85115" w:rsidR="00885640" w:rsidRPr="001E3A0E" w:rsidRDefault="00885640" w:rsidP="00885640">
      <w:pPr>
        <w:shd w:val="clear" w:color="auto" w:fill="FFFFFF"/>
        <w:spacing w:line="360" w:lineRule="auto"/>
        <w:ind w:firstLine="720"/>
        <w:jc w:val="both"/>
        <w:rPr>
          <w:sz w:val="24"/>
        </w:rPr>
      </w:pPr>
      <w:r w:rsidRPr="001E3A0E">
        <w:rPr>
          <w:sz w:val="24"/>
        </w:rPr>
        <w:t xml:space="preserve">Screening was conducted in two stages using the Rayyan web tool </w:t>
      </w:r>
      <w:r w:rsidRPr="001E3A0E">
        <w:rPr>
          <w:noProof/>
          <w:sz w:val="24"/>
        </w:rPr>
        <w:t>(Ouzzani et al., 2016)</w:t>
      </w:r>
      <w:r w:rsidRPr="001E3A0E">
        <w:rPr>
          <w:sz w:val="24"/>
        </w:rPr>
        <w:t xml:space="preserve">. Two authors independently screened titles and abstracts for eligibility followed by reading of the full texts. Disagreements were resolved with a third reviewer. We included studies which: 1) used a frailty index defined by </w:t>
      </w:r>
      <w:r w:rsidRPr="001E3A0E">
        <w:rPr>
          <w:noProof/>
          <w:sz w:val="24"/>
        </w:rPr>
        <w:t>Mitnitski et al. (2001)</w:t>
      </w:r>
      <w:r w:rsidRPr="001E3A0E">
        <w:rPr>
          <w:sz w:val="24"/>
        </w:rPr>
        <w:t xml:space="preserve">; 2) studied people aged 50 and over living in the community, as nationally representative cohorts of respondents in different countries focus on individuals aged 50 and over </w:t>
      </w:r>
      <w:r w:rsidRPr="001E3A0E">
        <w:rPr>
          <w:noProof/>
          <w:sz w:val="24"/>
        </w:rPr>
        <w:t>(Mansor et al., 2019, Perianayagam et al., 2019, Shin, 2019, Ichimura et al., 2009, Zaninotto and Steptoe, 2019, Börsch-Supan et al., 2013, Rosero-Bixby et al., 2019, Wong et al., 2015, Kearney et al., 2011, Sonnega et al., 2014, Zhao et al., 2012)</w:t>
      </w:r>
      <w:r w:rsidRPr="001E3A0E">
        <w:rPr>
          <w:sz w:val="24"/>
        </w:rPr>
        <w:t xml:space="preserve">; 3) provided information on transition between frailty states or to death; 4) </w:t>
      </w:r>
      <w:r w:rsidR="000B7B7D" w:rsidRPr="001E3A0E">
        <w:rPr>
          <w:sz w:val="24"/>
        </w:rPr>
        <w:t xml:space="preserve">were </w:t>
      </w:r>
      <w:r w:rsidRPr="001E3A0E">
        <w:rPr>
          <w:sz w:val="24"/>
        </w:rPr>
        <w:t>published since 2000. We excluded studies which: 1) analysed only a selected sample (e.g., people with specific health conditions); 2)</w:t>
      </w:r>
      <w:r w:rsidR="000B7B7D" w:rsidRPr="001E3A0E">
        <w:rPr>
          <w:sz w:val="24"/>
        </w:rPr>
        <w:t xml:space="preserve"> are</w:t>
      </w:r>
      <w:r w:rsidRPr="001E3A0E">
        <w:rPr>
          <w:sz w:val="24"/>
        </w:rPr>
        <w:t xml:space="preserve"> conference abstracts and reviews; 3) </w:t>
      </w:r>
      <w:r w:rsidR="000B7B7D" w:rsidRPr="001E3A0E">
        <w:rPr>
          <w:sz w:val="24"/>
        </w:rPr>
        <w:t xml:space="preserve">are </w:t>
      </w:r>
      <w:r w:rsidRPr="001E3A0E">
        <w:rPr>
          <w:sz w:val="24"/>
        </w:rPr>
        <w:t>non-English studies.</w:t>
      </w:r>
    </w:p>
    <w:p w14:paraId="40808B68" w14:textId="77777777" w:rsidR="00885640" w:rsidRPr="001E3A0E" w:rsidRDefault="00885640" w:rsidP="00885640">
      <w:pPr>
        <w:spacing w:line="360" w:lineRule="auto"/>
        <w:rPr>
          <w:sz w:val="24"/>
        </w:rPr>
      </w:pPr>
    </w:p>
    <w:p w14:paraId="1E70DF1D" w14:textId="77777777" w:rsidR="00885640" w:rsidRPr="001E3A0E" w:rsidRDefault="00885640" w:rsidP="00885640">
      <w:pPr>
        <w:spacing w:line="360" w:lineRule="auto"/>
        <w:rPr>
          <w:i/>
          <w:iCs/>
          <w:sz w:val="24"/>
        </w:rPr>
      </w:pPr>
      <w:r w:rsidRPr="001E3A0E">
        <w:rPr>
          <w:i/>
          <w:iCs/>
          <w:sz w:val="24"/>
        </w:rPr>
        <w:t>2.4. Quality assessment</w:t>
      </w:r>
    </w:p>
    <w:p w14:paraId="6B2C1634" w14:textId="77777777" w:rsidR="00885640" w:rsidRPr="001E3A0E" w:rsidRDefault="00885640" w:rsidP="00885640">
      <w:pPr>
        <w:spacing w:line="360" w:lineRule="auto"/>
        <w:ind w:firstLine="720"/>
        <w:jc w:val="both"/>
        <w:rPr>
          <w:sz w:val="24"/>
        </w:rPr>
      </w:pPr>
      <w:r w:rsidRPr="001E3A0E">
        <w:rPr>
          <w:sz w:val="24"/>
        </w:rPr>
        <w:t xml:space="preserve">The quality of the included studies was assessed using a modified Newcastle- Ottawa scale (NOS) </w:t>
      </w:r>
      <w:r w:rsidRPr="001E3A0E">
        <w:rPr>
          <w:noProof/>
          <w:sz w:val="24"/>
        </w:rPr>
        <w:t>(Wells et al., 2000)</w:t>
      </w:r>
      <w:r w:rsidRPr="001E3A0E">
        <w:rPr>
          <w:sz w:val="24"/>
        </w:rPr>
        <w:t xml:space="preserve">. We modified NOS to include an additional criterion – the frailty index must include at least 30 deficits as suggested by </w:t>
      </w:r>
      <w:r w:rsidRPr="001E3A0E">
        <w:rPr>
          <w:noProof/>
          <w:sz w:val="24"/>
        </w:rPr>
        <w:t>Searle et al. (2008)</w:t>
      </w:r>
      <w:r w:rsidRPr="001E3A0E">
        <w:rPr>
          <w:sz w:val="24"/>
        </w:rPr>
        <w:t>.</w:t>
      </w:r>
    </w:p>
    <w:p w14:paraId="155CAB59" w14:textId="77777777" w:rsidR="00885640" w:rsidRPr="001E3A0E" w:rsidRDefault="00885640" w:rsidP="00885640">
      <w:pPr>
        <w:spacing w:line="360" w:lineRule="auto"/>
        <w:rPr>
          <w:sz w:val="24"/>
        </w:rPr>
      </w:pPr>
    </w:p>
    <w:p w14:paraId="1F2642E3" w14:textId="77777777" w:rsidR="00885640" w:rsidRPr="001E3A0E" w:rsidRDefault="00885640" w:rsidP="00885640">
      <w:pPr>
        <w:spacing w:line="360" w:lineRule="auto"/>
        <w:rPr>
          <w:i/>
          <w:iCs/>
          <w:sz w:val="24"/>
        </w:rPr>
      </w:pPr>
      <w:r w:rsidRPr="001E3A0E">
        <w:rPr>
          <w:i/>
          <w:iCs/>
          <w:sz w:val="24"/>
        </w:rPr>
        <w:t>2.5. Data extraction</w:t>
      </w:r>
    </w:p>
    <w:p w14:paraId="19E0B1DE" w14:textId="77777777" w:rsidR="00885640" w:rsidRPr="001E3A0E" w:rsidRDefault="00885640" w:rsidP="00885640">
      <w:pPr>
        <w:spacing w:line="360" w:lineRule="auto"/>
        <w:ind w:firstLine="720"/>
        <w:jc w:val="both"/>
        <w:rPr>
          <w:sz w:val="24"/>
        </w:rPr>
      </w:pPr>
      <w:r w:rsidRPr="001E3A0E">
        <w:rPr>
          <w:sz w:val="24"/>
        </w:rPr>
        <w:t>Data were independently extracted by two reviewers using an Excel spreadsheet. Data extracted directly from the studies included: first author’s name, publication year, cohort name, sample size, mean age at baseline, proportion of female participants, cohort characteristics, duration of follow up, follow up rate, cut-points for FI score, number of deficits used to construct FI, number and percentage of participants in each frailty category (non-frail, pre-frail, frail) at baseline and follow up as well as number and percentage of deaths at follow up.</w:t>
      </w:r>
    </w:p>
    <w:p w14:paraId="5C145C5A" w14:textId="77777777" w:rsidR="00885640" w:rsidRPr="001E3A0E" w:rsidRDefault="00885640" w:rsidP="00885640">
      <w:pPr>
        <w:spacing w:line="360" w:lineRule="auto"/>
        <w:rPr>
          <w:sz w:val="24"/>
        </w:rPr>
      </w:pPr>
    </w:p>
    <w:p w14:paraId="1427C635" w14:textId="77777777" w:rsidR="00885640" w:rsidRPr="001E3A0E" w:rsidRDefault="00885640" w:rsidP="00885640">
      <w:pPr>
        <w:spacing w:line="360" w:lineRule="auto"/>
        <w:rPr>
          <w:i/>
          <w:sz w:val="24"/>
        </w:rPr>
      </w:pPr>
      <w:r w:rsidRPr="001E3A0E">
        <w:rPr>
          <w:i/>
          <w:sz w:val="24"/>
        </w:rPr>
        <w:t xml:space="preserve">2.6. Data synthesis </w:t>
      </w:r>
    </w:p>
    <w:p w14:paraId="54EBAD1A" w14:textId="77777777" w:rsidR="00885640" w:rsidRPr="001E3A0E" w:rsidRDefault="00885640" w:rsidP="00885640">
      <w:pPr>
        <w:spacing w:line="360" w:lineRule="auto"/>
        <w:ind w:firstLine="720"/>
        <w:jc w:val="both"/>
        <w:rPr>
          <w:sz w:val="24"/>
        </w:rPr>
      </w:pPr>
      <w:r w:rsidRPr="001E3A0E">
        <w:rPr>
          <w:sz w:val="24"/>
        </w:rPr>
        <w:t xml:space="preserve">Due to the heterogeneous nature of many frailty studies, we synthesised evidence from studies which used the same cut-points and conducted a narrative synthesis of the findings from the rest of the studies. Data on changes of frailty status from baseline to follow up were converted to annual transition probabilities by calculating the </w:t>
      </w:r>
      <m:oMath>
        <m:r>
          <w:rPr>
            <w:rFonts w:ascii="Cambria Math" w:hAnsi="Cambria Math"/>
            <w:sz w:val="24"/>
          </w:rPr>
          <m:t>N</m:t>
        </m:r>
      </m:oMath>
      <w:r w:rsidRPr="001E3A0E">
        <w:rPr>
          <w:sz w:val="24"/>
        </w:rPr>
        <w:t xml:space="preserve">th root of a transition probability matrix using eigen-decomposition approach introduced in </w:t>
      </w:r>
      <w:r w:rsidRPr="001E3A0E">
        <w:rPr>
          <w:noProof/>
          <w:sz w:val="24"/>
        </w:rPr>
        <w:t>Chhatwal et al. (2016)</w:t>
      </w:r>
      <w:r w:rsidRPr="001E3A0E">
        <w:rPr>
          <w:sz w:val="24"/>
        </w:rPr>
        <w:t>. Unlike the traditional method the eigen-decomposition method matches exactly the observed probabilities for lower frequencies.</w:t>
      </w:r>
    </w:p>
    <w:p w14:paraId="705CB415" w14:textId="77777777" w:rsidR="00885640" w:rsidRPr="001E3A0E" w:rsidRDefault="00885640" w:rsidP="00C84C44">
      <w:pPr>
        <w:pStyle w:val="Heading1"/>
        <w:numPr>
          <w:ilvl w:val="0"/>
          <w:numId w:val="0"/>
        </w:numPr>
        <w:spacing w:line="360" w:lineRule="auto"/>
        <w:ind w:left="357"/>
        <w:rPr>
          <w:rFonts w:cs="Times New Roman"/>
          <w:b w:val="0"/>
          <w:sz w:val="24"/>
          <w:szCs w:val="24"/>
        </w:rPr>
      </w:pPr>
      <w:r w:rsidRPr="001E3A0E">
        <w:rPr>
          <w:rFonts w:cs="Times New Roman"/>
          <w:sz w:val="24"/>
          <w:szCs w:val="24"/>
        </w:rPr>
        <w:t>3. Results</w:t>
      </w:r>
    </w:p>
    <w:p w14:paraId="2F756A36" w14:textId="77777777" w:rsidR="00885640" w:rsidRPr="001E3A0E" w:rsidRDefault="00885640" w:rsidP="00885640">
      <w:pPr>
        <w:spacing w:line="360" w:lineRule="auto"/>
        <w:rPr>
          <w:i/>
          <w:iCs/>
          <w:sz w:val="24"/>
        </w:rPr>
      </w:pPr>
      <w:r w:rsidRPr="001E3A0E">
        <w:rPr>
          <w:i/>
          <w:iCs/>
          <w:sz w:val="24"/>
        </w:rPr>
        <w:t xml:space="preserve">3.1. Selection processes, study characteristics and assessment of study quality </w:t>
      </w:r>
    </w:p>
    <w:p w14:paraId="467878B3" w14:textId="4F1F74A5" w:rsidR="00885640" w:rsidRPr="001E3A0E" w:rsidRDefault="00885640" w:rsidP="00885640">
      <w:pPr>
        <w:spacing w:line="360" w:lineRule="auto"/>
        <w:ind w:firstLine="720"/>
        <w:jc w:val="both"/>
        <w:rPr>
          <w:sz w:val="24"/>
        </w:rPr>
      </w:pPr>
      <w:r w:rsidRPr="001E3A0E">
        <w:rPr>
          <w:sz w:val="24"/>
        </w:rPr>
        <w:t>The final search identified a total of 10697 records. After deduplication 5</w:t>
      </w:r>
      <w:r w:rsidR="00A27137">
        <w:rPr>
          <w:sz w:val="24"/>
        </w:rPr>
        <w:t xml:space="preserve">078 </w:t>
      </w:r>
      <w:r w:rsidRPr="001E3A0E">
        <w:rPr>
          <w:sz w:val="24"/>
        </w:rPr>
        <w:t xml:space="preserve">articles were screened. Of these, 4977 studies were excluded through title and abstract screening. The full texts for one hundred and one studies were reviewed of which fifty-seven were excluded because they used a selected sample (n = 7), used a frailty definition which did not meet the cumulative frailty model criteria or did not contain information on changes between frailty categories and/or death (n = 26). We also excluded systematic reviews (n = 1), non- English publications (n = 1), and conference abstracts (n = 21). The full text for one study was not found. </w:t>
      </w:r>
      <w:proofErr w:type="gramStart"/>
      <w:r w:rsidRPr="001E3A0E">
        <w:rPr>
          <w:sz w:val="24"/>
        </w:rPr>
        <w:t>Sixty one</w:t>
      </w:r>
      <w:proofErr w:type="gramEnd"/>
      <w:r w:rsidRPr="001E3A0E">
        <w:rPr>
          <w:sz w:val="24"/>
        </w:rPr>
        <w:t xml:space="preserve"> studies were identified for inclusion in the current systematic reviews. The PRISMA flow diagram is presented in </w:t>
      </w:r>
      <w:r w:rsidRPr="001E3A0E">
        <w:rPr>
          <w:sz w:val="24"/>
        </w:rPr>
        <w:fldChar w:fldCharType="begin"/>
      </w:r>
      <w:r w:rsidRPr="001E3A0E">
        <w:rPr>
          <w:sz w:val="24"/>
        </w:rPr>
        <w:instrText xml:space="preserve"> REF _Ref98453964 \h  \* MERGEFORMAT </w:instrText>
      </w:r>
      <w:r w:rsidRPr="001E3A0E">
        <w:rPr>
          <w:sz w:val="24"/>
        </w:rPr>
      </w:r>
      <w:r w:rsidRPr="001E3A0E">
        <w:rPr>
          <w:sz w:val="24"/>
        </w:rPr>
        <w:fldChar w:fldCharType="separate"/>
      </w:r>
      <w:r w:rsidRPr="001E3A0E">
        <w:rPr>
          <w:sz w:val="24"/>
        </w:rPr>
        <w:t>Figure 1</w:t>
      </w:r>
      <w:r w:rsidRPr="001E3A0E">
        <w:rPr>
          <w:sz w:val="24"/>
        </w:rPr>
        <w:fldChar w:fldCharType="end"/>
      </w:r>
      <w:r w:rsidRPr="001E3A0E">
        <w:rPr>
          <w:sz w:val="24"/>
        </w:rPr>
        <w:t xml:space="preserve">. Citation searches identified sixteen records. The detailed study characteristics of included studies are presented in </w:t>
      </w:r>
      <w:r w:rsidRPr="001E3A0E">
        <w:rPr>
          <w:sz w:val="24"/>
        </w:rPr>
        <w:fldChar w:fldCharType="begin"/>
      </w:r>
      <w:r w:rsidRPr="001E3A0E">
        <w:rPr>
          <w:sz w:val="24"/>
        </w:rPr>
        <w:instrText xml:space="preserve"> REF _Ref82599593 \h  \* MERGEFORMAT </w:instrText>
      </w:r>
      <w:r w:rsidRPr="001E3A0E">
        <w:rPr>
          <w:sz w:val="24"/>
        </w:rPr>
      </w:r>
      <w:r w:rsidRPr="001E3A0E">
        <w:rPr>
          <w:sz w:val="24"/>
        </w:rPr>
        <w:fldChar w:fldCharType="separate"/>
      </w:r>
      <w:r w:rsidRPr="001E3A0E">
        <w:rPr>
          <w:sz w:val="24"/>
        </w:rPr>
        <w:t>Table 1</w:t>
      </w:r>
      <w:r w:rsidRPr="001E3A0E">
        <w:rPr>
          <w:sz w:val="24"/>
        </w:rPr>
        <w:fldChar w:fldCharType="end"/>
      </w:r>
      <w:r w:rsidR="001E3A0E" w:rsidRPr="001E3A0E">
        <w:rPr>
          <w:sz w:val="24"/>
        </w:rPr>
        <w:t>a, b</w:t>
      </w:r>
      <w:r w:rsidRPr="001E3A0E">
        <w:rPr>
          <w:sz w:val="24"/>
        </w:rPr>
        <w:t xml:space="preserve">. </w:t>
      </w:r>
    </w:p>
    <w:p w14:paraId="16BB5820" w14:textId="1A4A6AAD" w:rsidR="00885640" w:rsidRPr="001E3A0E" w:rsidRDefault="00885640" w:rsidP="00885640">
      <w:pPr>
        <w:spacing w:line="360" w:lineRule="auto"/>
        <w:ind w:firstLine="720"/>
        <w:jc w:val="both"/>
        <w:rPr>
          <w:sz w:val="24"/>
        </w:rPr>
      </w:pPr>
      <w:r w:rsidRPr="001E3A0E">
        <w:rPr>
          <w:sz w:val="24"/>
        </w:rPr>
        <w:t xml:space="preserve">The majority of included studies reported data extracted from longitudinal population-based cohort studies and local administrative data spanning more than eighteen countries: United States (n=8), Canada (n=9), England (n=8), China (n=7), the Netherlands (n=4), Australia (n=2), France (n=2), Germany (n=2), </w:t>
      </w:r>
      <w:r w:rsidR="00EF2335">
        <w:rPr>
          <w:sz w:val="24"/>
        </w:rPr>
        <w:t xml:space="preserve">South </w:t>
      </w:r>
      <w:r w:rsidRPr="001E3A0E">
        <w:rPr>
          <w:sz w:val="24"/>
        </w:rPr>
        <w:t xml:space="preserve">Korea (n=2), Wales (n=1), Great Britain (n=1), Sweden (n=1), Spain (n=1), Turkey (n=1), Japan (n=1), Taiwan (n=1), Brazil (n=1), Mexico (n=1). Most measured FI in accordance with the Searle et al. </w:t>
      </w:r>
      <w:r w:rsidRPr="001E3A0E">
        <w:rPr>
          <w:noProof/>
          <w:sz w:val="24"/>
        </w:rPr>
        <w:t>(Searle et al., 2008)</w:t>
      </w:r>
      <w:r w:rsidRPr="001E3A0E">
        <w:rPr>
          <w:sz w:val="24"/>
        </w:rPr>
        <w:t xml:space="preserve"> guidance, and one study </w:t>
      </w:r>
      <w:r w:rsidRPr="001E3A0E">
        <w:rPr>
          <w:noProof/>
          <w:sz w:val="24"/>
        </w:rPr>
        <w:t>(Jung et al., 2014)</w:t>
      </w:r>
      <w:r w:rsidRPr="001E3A0E">
        <w:rPr>
          <w:sz w:val="24"/>
        </w:rPr>
        <w:t xml:space="preserve"> proposed a novel approach to create FI, which applies weighting factors with respect to clinical significance. </w:t>
      </w:r>
    </w:p>
    <w:p w14:paraId="2C308916" w14:textId="41EB37B5" w:rsidR="00885640" w:rsidRPr="001E3A0E" w:rsidRDefault="00885640" w:rsidP="00885640">
      <w:pPr>
        <w:spacing w:line="360" w:lineRule="auto"/>
        <w:ind w:firstLine="720"/>
        <w:jc w:val="both"/>
        <w:rPr>
          <w:sz w:val="24"/>
        </w:rPr>
      </w:pPr>
      <w:r w:rsidRPr="001E3A0E">
        <w:rPr>
          <w:sz w:val="24"/>
        </w:rPr>
        <w:t>Only three of the sixty-one included studies (</w:t>
      </w:r>
      <w:r w:rsidRPr="001E3A0E">
        <w:rPr>
          <w:sz w:val="24"/>
        </w:rPr>
        <w:fldChar w:fldCharType="begin"/>
      </w:r>
      <w:r w:rsidRPr="001E3A0E">
        <w:rPr>
          <w:sz w:val="24"/>
        </w:rPr>
        <w:instrText xml:space="preserve"> REF _Ref98453964 \h </w:instrText>
      </w:r>
      <w:r w:rsidR="00C84C44" w:rsidRPr="001E3A0E">
        <w:rPr>
          <w:sz w:val="24"/>
        </w:rPr>
        <w:instrText xml:space="preserve"> \* MERGEFORMAT </w:instrText>
      </w:r>
      <w:r w:rsidRPr="001E3A0E">
        <w:rPr>
          <w:sz w:val="24"/>
        </w:rPr>
      </w:r>
      <w:r w:rsidRPr="001E3A0E">
        <w:rPr>
          <w:sz w:val="24"/>
        </w:rPr>
        <w:fldChar w:fldCharType="separate"/>
      </w:r>
      <w:r w:rsidRPr="001E3A0E">
        <w:rPr>
          <w:sz w:val="24"/>
        </w:rPr>
        <w:t>Figure 1</w:t>
      </w:r>
      <w:r w:rsidRPr="001E3A0E">
        <w:rPr>
          <w:sz w:val="24"/>
        </w:rPr>
        <w:fldChar w:fldCharType="end"/>
      </w:r>
      <w:r w:rsidRPr="001E3A0E">
        <w:rPr>
          <w:sz w:val="24"/>
        </w:rPr>
        <w:t>) used more than 30 deficits to calculate FI score and discretise it into three categories: non-frail, pre-</w:t>
      </w:r>
      <w:proofErr w:type="gramStart"/>
      <w:r w:rsidRPr="001E3A0E">
        <w:rPr>
          <w:sz w:val="24"/>
        </w:rPr>
        <w:t>frail</w:t>
      </w:r>
      <w:proofErr w:type="gramEnd"/>
      <w:r w:rsidRPr="001E3A0E">
        <w:rPr>
          <w:sz w:val="24"/>
        </w:rPr>
        <w:t xml:space="preserve"> and frail. The cohorts were from Australia (n =1), and China (n = 2), their participants’ mean age at baseline varied between 70 and 80 years, all consisted of more women than men. These three studies were r</w:t>
      </w:r>
      <w:r w:rsidR="00EF2335">
        <w:rPr>
          <w:sz w:val="24"/>
        </w:rPr>
        <w:t xml:space="preserve">ated as </w:t>
      </w:r>
      <w:r w:rsidRPr="001E3A0E">
        <w:rPr>
          <w:sz w:val="24"/>
        </w:rPr>
        <w:t xml:space="preserve">good quality (the NOS score is 9, Supplementary Table 3). The remaining fifty-eight studies used different number of deficits used as well as cut-points. Information reported in the remaining fifty-eight studies was used for a narrative summary. </w:t>
      </w:r>
    </w:p>
    <w:p w14:paraId="5D07D314" w14:textId="77777777" w:rsidR="00885640" w:rsidRPr="001E3A0E" w:rsidRDefault="00885640" w:rsidP="00885640">
      <w:pPr>
        <w:spacing w:line="360" w:lineRule="auto"/>
        <w:ind w:firstLine="720"/>
        <w:jc w:val="both"/>
        <w:rPr>
          <w:sz w:val="24"/>
        </w:rPr>
      </w:pPr>
    </w:p>
    <w:p w14:paraId="1039880D" w14:textId="77777777" w:rsidR="00885640" w:rsidRPr="001E3A0E" w:rsidRDefault="00885640" w:rsidP="00885640">
      <w:pPr>
        <w:spacing w:line="360" w:lineRule="auto"/>
        <w:ind w:firstLine="720"/>
        <w:jc w:val="both"/>
        <w:rPr>
          <w:sz w:val="24"/>
        </w:rPr>
      </w:pPr>
    </w:p>
    <w:p w14:paraId="0A250FC7" w14:textId="77777777" w:rsidR="00885640" w:rsidRPr="001E3A0E" w:rsidRDefault="00885640" w:rsidP="00885640">
      <w:pPr>
        <w:spacing w:line="360" w:lineRule="auto"/>
        <w:ind w:firstLine="720"/>
        <w:jc w:val="both"/>
        <w:rPr>
          <w:sz w:val="24"/>
        </w:rPr>
      </w:pPr>
    </w:p>
    <w:p w14:paraId="4ADAE97C" w14:textId="77777777" w:rsidR="00885640" w:rsidRPr="001E3A0E" w:rsidRDefault="00885640" w:rsidP="00885640">
      <w:pPr>
        <w:spacing w:line="360" w:lineRule="auto"/>
        <w:ind w:firstLine="720"/>
        <w:jc w:val="both"/>
        <w:rPr>
          <w:sz w:val="24"/>
        </w:rPr>
      </w:pPr>
    </w:p>
    <w:p w14:paraId="4B3C099F" w14:textId="77777777" w:rsidR="00885640" w:rsidRPr="001E3A0E" w:rsidRDefault="00885640" w:rsidP="00885640">
      <w:pPr>
        <w:spacing w:line="360" w:lineRule="auto"/>
        <w:ind w:firstLine="720"/>
        <w:jc w:val="both"/>
        <w:rPr>
          <w:sz w:val="24"/>
        </w:rPr>
      </w:pPr>
    </w:p>
    <w:p w14:paraId="5949EEDA" w14:textId="77777777" w:rsidR="00885640" w:rsidRPr="001E3A0E" w:rsidRDefault="00885640" w:rsidP="00885640">
      <w:pPr>
        <w:spacing w:line="360" w:lineRule="auto"/>
        <w:ind w:firstLine="720"/>
        <w:jc w:val="both"/>
        <w:rPr>
          <w:sz w:val="24"/>
        </w:rPr>
      </w:pPr>
    </w:p>
    <w:p w14:paraId="045D1616" w14:textId="77777777" w:rsidR="00885640" w:rsidRPr="001E3A0E" w:rsidRDefault="00885640" w:rsidP="00885640">
      <w:pPr>
        <w:spacing w:line="360" w:lineRule="auto"/>
        <w:ind w:firstLine="720"/>
        <w:jc w:val="both"/>
        <w:rPr>
          <w:sz w:val="24"/>
        </w:rPr>
      </w:pPr>
    </w:p>
    <w:p w14:paraId="02250B42" w14:textId="77777777" w:rsidR="00885640" w:rsidRPr="001E3A0E" w:rsidRDefault="00885640" w:rsidP="00885640">
      <w:pPr>
        <w:spacing w:line="360" w:lineRule="auto"/>
        <w:ind w:firstLine="720"/>
        <w:jc w:val="both"/>
        <w:rPr>
          <w:sz w:val="24"/>
        </w:rPr>
      </w:pPr>
    </w:p>
    <w:p w14:paraId="622D9E78" w14:textId="77777777" w:rsidR="00885640" w:rsidRPr="001E3A0E" w:rsidRDefault="00885640" w:rsidP="00885640">
      <w:pPr>
        <w:spacing w:line="360" w:lineRule="auto"/>
        <w:ind w:firstLine="720"/>
        <w:jc w:val="both"/>
        <w:rPr>
          <w:sz w:val="24"/>
        </w:rPr>
      </w:pPr>
    </w:p>
    <w:p w14:paraId="0B2543FB" w14:textId="77777777" w:rsidR="00885640" w:rsidRPr="001E3A0E" w:rsidRDefault="00885640" w:rsidP="00885640">
      <w:pPr>
        <w:keepNext/>
        <w:spacing w:line="360" w:lineRule="auto"/>
        <w:rPr>
          <w:sz w:val="24"/>
        </w:rPr>
      </w:pPr>
    </w:p>
    <w:p w14:paraId="2FADAB42" w14:textId="77777777" w:rsidR="00885640" w:rsidRPr="001E3A0E" w:rsidRDefault="00885640" w:rsidP="00885640">
      <w:pPr>
        <w:keepNext/>
        <w:spacing w:line="360" w:lineRule="auto"/>
        <w:rPr>
          <w:sz w:val="24"/>
        </w:rPr>
      </w:pPr>
      <w:bookmarkStart w:id="0" w:name="_Ref98453964"/>
      <w:r w:rsidRPr="001E3A0E">
        <w:rPr>
          <w:sz w:val="24"/>
        </w:rPr>
        <w:t xml:space="preserve">Figure  </w:t>
      </w:r>
      <w:r w:rsidR="000B7B7D" w:rsidRPr="001E3A0E">
        <w:rPr>
          <w:sz w:val="24"/>
        </w:rPr>
        <w:fldChar w:fldCharType="begin"/>
      </w:r>
      <w:r w:rsidR="000B7B7D" w:rsidRPr="001E3A0E">
        <w:rPr>
          <w:sz w:val="24"/>
        </w:rPr>
        <w:instrText xml:space="preserve"> SEQ Figure_ \* ARABIC </w:instrText>
      </w:r>
      <w:r w:rsidR="000B7B7D" w:rsidRPr="001E3A0E">
        <w:rPr>
          <w:sz w:val="24"/>
        </w:rPr>
        <w:fldChar w:fldCharType="separate"/>
      </w:r>
      <w:r w:rsidRPr="001E3A0E">
        <w:rPr>
          <w:sz w:val="24"/>
        </w:rPr>
        <w:t>1</w:t>
      </w:r>
      <w:r w:rsidR="000B7B7D" w:rsidRPr="001E3A0E">
        <w:rPr>
          <w:sz w:val="24"/>
        </w:rPr>
        <w:fldChar w:fldCharType="end"/>
      </w:r>
      <w:bookmarkEnd w:id="0"/>
      <w:r w:rsidRPr="001E3A0E">
        <w:rPr>
          <w:sz w:val="24"/>
        </w:rPr>
        <w:t xml:space="preserve"> PRISMA flow diagram </w:t>
      </w:r>
      <w:r w:rsidRPr="001E3A0E">
        <w:rPr>
          <w:noProof/>
          <w:sz w:val="24"/>
        </w:rPr>
        <mc:AlternateContent>
          <mc:Choice Requires="wps">
            <w:drawing>
              <wp:anchor distT="0" distB="0" distL="114300" distR="114300" simplePos="0" relativeHeight="251669504" behindDoc="0" locked="0" layoutInCell="1" allowOverlap="1" wp14:anchorId="093E70E0" wp14:editId="3B7D08EF">
                <wp:simplePos x="0" y="0"/>
                <wp:positionH relativeFrom="column">
                  <wp:posOffset>566420</wp:posOffset>
                </wp:positionH>
                <wp:positionV relativeFrom="paragraph">
                  <wp:posOffset>208118</wp:posOffset>
                </wp:positionV>
                <wp:extent cx="4345229" cy="262966"/>
                <wp:effectExtent l="0" t="0" r="11430" b="16510"/>
                <wp:wrapNone/>
                <wp:docPr id="17" name="Flowchart: Alternate Process 29"/>
                <wp:cNvGraphicFramePr/>
                <a:graphic xmlns:a="http://schemas.openxmlformats.org/drawingml/2006/main">
                  <a:graphicData uri="http://schemas.microsoft.com/office/word/2010/wordprocessingShape">
                    <wps:wsp>
                      <wps:cNvSpPr/>
                      <wps:spPr>
                        <a:xfrm>
                          <a:off x="0" y="0"/>
                          <a:ext cx="4345229" cy="262966"/>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10268CD0" w14:textId="77777777" w:rsidR="000B7B7D" w:rsidRPr="001502CF" w:rsidRDefault="000B7B7D" w:rsidP="00885640">
                            <w:pPr>
                              <w:jc w:val="center"/>
                              <w:rPr>
                                <w:rFonts w:ascii="Arial" w:hAnsi="Arial" w:cs="Arial"/>
                                <w:b/>
                                <w:color w:val="000000" w:themeColor="text1"/>
                                <w:sz w:val="18"/>
                                <w:szCs w:val="18"/>
                              </w:rPr>
                            </w:pPr>
                            <w:r w:rsidRPr="00532D6E">
                              <w:rPr>
                                <w:rFonts w:ascii="Arial" w:hAnsi="Arial" w:cs="Arial"/>
                                <w:b/>
                                <w:color w:val="000000" w:themeColor="text1"/>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E70E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pt;margin-top:16.4pt;width:342.1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" filled="f" strokecolor="black [3213]" strokeweight="2pt">
                <v:textbox>
                  <w:txbxContent>
                    <w:p w14:paraId="10268CD0" w14:textId="77777777" w:rsidR="000B7B7D" w:rsidRPr="001502CF" w:rsidRDefault="000B7B7D" w:rsidP="00885640">
                      <w:pPr>
                        <w:jc w:val="center"/>
                        <w:rPr>
                          <w:rFonts w:ascii="Arial" w:hAnsi="Arial" w:cs="Arial"/>
                          <w:b/>
                          <w:color w:val="000000" w:themeColor="text1"/>
                          <w:sz w:val="18"/>
                          <w:szCs w:val="18"/>
                        </w:rPr>
                      </w:pPr>
                      <w:r w:rsidRPr="00532D6E">
                        <w:rPr>
                          <w:rFonts w:ascii="Arial" w:hAnsi="Arial" w:cs="Arial"/>
                          <w:b/>
                          <w:color w:val="000000" w:themeColor="text1"/>
                          <w:sz w:val="18"/>
                          <w:szCs w:val="18"/>
                        </w:rPr>
                        <w:t>Identification of studies via databases and registers</w:t>
                      </w:r>
                    </w:p>
                  </w:txbxContent>
                </v:textbox>
              </v:shape>
            </w:pict>
          </mc:Fallback>
        </mc:AlternateContent>
      </w:r>
    </w:p>
    <w:p w14:paraId="348FC9DC" w14:textId="77777777" w:rsidR="00885640" w:rsidRPr="001E3A0E" w:rsidRDefault="00885640" w:rsidP="00885640">
      <w:pPr>
        <w:spacing w:line="360" w:lineRule="auto"/>
        <w:rPr>
          <w:sz w:val="24"/>
        </w:rPr>
      </w:pPr>
    </w:p>
    <w:p w14:paraId="0B3FD052"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0288" behindDoc="0" locked="0" layoutInCell="1" allowOverlap="1" wp14:anchorId="46CC7E35" wp14:editId="2E1298BD">
                <wp:simplePos x="0" y="0"/>
                <wp:positionH relativeFrom="column">
                  <wp:posOffset>3030279</wp:posOffset>
                </wp:positionH>
                <wp:positionV relativeFrom="paragraph">
                  <wp:posOffset>68683</wp:posOffset>
                </wp:positionV>
                <wp:extent cx="1877917" cy="1242695"/>
                <wp:effectExtent l="0" t="0" r="14605" b="14605"/>
                <wp:wrapNone/>
                <wp:docPr id="18" name="Rectangle 18"/>
                <wp:cNvGraphicFramePr/>
                <a:graphic xmlns:a="http://schemas.openxmlformats.org/drawingml/2006/main">
                  <a:graphicData uri="http://schemas.microsoft.com/office/word/2010/wordprocessingShape">
                    <wps:wsp>
                      <wps:cNvSpPr/>
                      <wps:spPr>
                        <a:xfrm>
                          <a:off x="0" y="0"/>
                          <a:ext cx="1877917" cy="12426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4BBB7" w14:textId="77777777" w:rsidR="000B7B7D"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876EF3">
                              <w:rPr>
                                <w:rFonts w:ascii="Arial" w:hAnsi="Arial" w:cs="Arial"/>
                                <w:color w:val="000000" w:themeColor="text1"/>
                                <w:sz w:val="18"/>
                                <w:szCs w:val="20"/>
                              </w:rPr>
                              <w:t>before screening:</w:t>
                            </w:r>
                          </w:p>
                          <w:p w14:paraId="14D21F25" w14:textId="77777777" w:rsidR="000B7B7D" w:rsidRDefault="000B7B7D" w:rsidP="00885640">
                            <w:pPr>
                              <w:ind w:left="284"/>
                              <w:jc w:val="center"/>
                              <w:rPr>
                                <w:rFonts w:ascii="Arial" w:hAnsi="Arial" w:cs="Arial"/>
                                <w:color w:val="000000" w:themeColor="text1"/>
                                <w:sz w:val="18"/>
                                <w:szCs w:val="20"/>
                              </w:rPr>
                            </w:pPr>
                            <w:r>
                              <w:rPr>
                                <w:rFonts w:ascii="Arial" w:hAnsi="Arial" w:cs="Arial"/>
                                <w:color w:val="000000" w:themeColor="text1"/>
                                <w:sz w:val="18"/>
                                <w:szCs w:val="20"/>
                              </w:rPr>
                              <w:t>Duplicate records removed</w:t>
                            </w:r>
                          </w:p>
                          <w:p w14:paraId="5C0182BD" w14:textId="77777777" w:rsidR="000B7B7D" w:rsidRPr="00560609" w:rsidRDefault="000B7B7D" w:rsidP="00885640">
                            <w:pPr>
                              <w:ind w:left="284"/>
                              <w:jc w:val="center"/>
                              <w:rPr>
                                <w:rFonts w:ascii="Arial" w:hAnsi="Arial" w:cs="Arial"/>
                                <w:color w:val="000000" w:themeColor="text1"/>
                                <w:sz w:val="18"/>
                                <w:szCs w:val="20"/>
                              </w:rPr>
                            </w:pPr>
                            <w:r>
                              <w:rPr>
                                <w:rFonts w:ascii="Arial" w:hAnsi="Arial" w:cs="Arial"/>
                                <w:color w:val="000000" w:themeColor="text1"/>
                                <w:sz w:val="18"/>
                                <w:szCs w:val="20"/>
                              </w:rPr>
                              <w:t>(n = 5619)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C7E35" id="Rectangle 18" o:spid="_x0000_s1027" style="position:absolute;margin-left:238.6pt;margin-top:5.4pt;width:147.85pt;height:9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" filled="f" strokecolor="black [3213]" strokeweight="2pt">
                <v:textbox>
                  <w:txbxContent>
                    <w:p w14:paraId="31F4BBB7" w14:textId="77777777" w:rsidR="000B7B7D"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removed </w:t>
                      </w:r>
                      <w:r w:rsidRPr="00876EF3">
                        <w:rPr>
                          <w:rFonts w:ascii="Arial" w:hAnsi="Arial" w:cs="Arial"/>
                          <w:color w:val="000000" w:themeColor="text1"/>
                          <w:sz w:val="18"/>
                          <w:szCs w:val="20"/>
                        </w:rPr>
                        <w:t>before screening:</w:t>
                      </w:r>
                    </w:p>
                    <w:p w14:paraId="14D21F25" w14:textId="77777777" w:rsidR="000B7B7D" w:rsidRDefault="000B7B7D" w:rsidP="00885640">
                      <w:pPr>
                        <w:ind w:left="284"/>
                        <w:jc w:val="center"/>
                        <w:rPr>
                          <w:rFonts w:ascii="Arial" w:hAnsi="Arial" w:cs="Arial"/>
                          <w:color w:val="000000" w:themeColor="text1"/>
                          <w:sz w:val="18"/>
                          <w:szCs w:val="20"/>
                        </w:rPr>
                      </w:pPr>
                      <w:r>
                        <w:rPr>
                          <w:rFonts w:ascii="Arial" w:hAnsi="Arial" w:cs="Arial"/>
                          <w:color w:val="000000" w:themeColor="text1"/>
                          <w:sz w:val="18"/>
                          <w:szCs w:val="20"/>
                        </w:rPr>
                        <w:t>Duplicate records removed</w:t>
                      </w:r>
                    </w:p>
                    <w:p w14:paraId="5C0182BD" w14:textId="77777777" w:rsidR="000B7B7D" w:rsidRPr="00560609" w:rsidRDefault="000B7B7D" w:rsidP="00885640">
                      <w:pPr>
                        <w:ind w:left="284"/>
                        <w:jc w:val="center"/>
                        <w:rPr>
                          <w:rFonts w:ascii="Arial" w:hAnsi="Arial" w:cs="Arial"/>
                          <w:color w:val="000000" w:themeColor="text1"/>
                          <w:sz w:val="18"/>
                          <w:szCs w:val="20"/>
                        </w:rPr>
                      </w:pPr>
                      <w:r>
                        <w:rPr>
                          <w:rFonts w:ascii="Arial" w:hAnsi="Arial" w:cs="Arial"/>
                          <w:color w:val="000000" w:themeColor="text1"/>
                          <w:sz w:val="18"/>
                          <w:szCs w:val="20"/>
                        </w:rPr>
                        <w:t>(n = 5619)</w:t>
                      </w:r>
                    </w:p>
                  </w:txbxContent>
                </v:textbox>
              </v:rect>
            </w:pict>
          </mc:Fallback>
        </mc:AlternateContent>
      </w:r>
      <w:r w:rsidRPr="001E3A0E">
        <w:rPr>
          <w:noProof/>
          <w:sz w:val="24"/>
        </w:rPr>
        <mc:AlternateContent>
          <mc:Choice Requires="wps">
            <w:drawing>
              <wp:anchor distT="0" distB="0" distL="114300" distR="114300" simplePos="0" relativeHeight="251659264" behindDoc="0" locked="0" layoutInCell="1" allowOverlap="1" wp14:anchorId="1A7A4A34" wp14:editId="607D6190">
                <wp:simplePos x="0" y="0"/>
                <wp:positionH relativeFrom="column">
                  <wp:posOffset>552893</wp:posOffset>
                </wp:positionH>
                <wp:positionV relativeFrom="paragraph">
                  <wp:posOffset>79316</wp:posOffset>
                </wp:positionV>
                <wp:extent cx="1887220" cy="1280618"/>
                <wp:effectExtent l="0" t="0" r="17780" b="15240"/>
                <wp:wrapNone/>
                <wp:docPr id="19" name="Rectangle 19"/>
                <wp:cNvGraphicFramePr/>
                <a:graphic xmlns:a="http://schemas.openxmlformats.org/drawingml/2006/main">
                  <a:graphicData uri="http://schemas.microsoft.com/office/word/2010/wordprocessingShape">
                    <wps:wsp>
                      <wps:cNvSpPr/>
                      <wps:spPr>
                        <a:xfrm>
                          <a:off x="0" y="0"/>
                          <a:ext cx="1887220" cy="12806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99A2E" w14:textId="77777777" w:rsidR="000B7B7D" w:rsidRDefault="000B7B7D" w:rsidP="00885640">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 search:</w:t>
                            </w:r>
                          </w:p>
                          <w:p w14:paraId="0CACCF6D" w14:textId="77777777" w:rsidR="000B7B7D" w:rsidRDefault="000B7B7D" w:rsidP="00885640">
                            <w:pPr>
                              <w:ind w:left="284"/>
                              <w:rPr>
                                <w:rFonts w:ascii="Arial" w:hAnsi="Arial" w:cs="Arial"/>
                                <w:color w:val="000000" w:themeColor="text1"/>
                                <w:sz w:val="18"/>
                                <w:szCs w:val="20"/>
                              </w:rPr>
                            </w:pPr>
                            <w:r>
                              <w:rPr>
                                <w:rFonts w:ascii="Arial" w:hAnsi="Arial" w:cs="Arial"/>
                                <w:color w:val="000000" w:themeColor="text1"/>
                                <w:sz w:val="18"/>
                                <w:szCs w:val="20"/>
                              </w:rPr>
                              <w:t>Databases &amp; registers</w:t>
                            </w:r>
                          </w:p>
                          <w:p w14:paraId="5C9E2DB0" w14:textId="77777777" w:rsidR="000B7B7D" w:rsidRDefault="000B7B7D" w:rsidP="00885640">
                            <w:pPr>
                              <w:ind w:left="284"/>
                              <w:rPr>
                                <w:rFonts w:ascii="Arial" w:hAnsi="Arial" w:cs="Arial"/>
                                <w:color w:val="000000" w:themeColor="text1"/>
                                <w:sz w:val="18"/>
                                <w:szCs w:val="20"/>
                              </w:rPr>
                            </w:pPr>
                            <w:r>
                              <w:rPr>
                                <w:rFonts w:ascii="Arial" w:hAnsi="Arial" w:cs="Arial"/>
                                <w:color w:val="000000" w:themeColor="text1"/>
                                <w:sz w:val="18"/>
                                <w:szCs w:val="20"/>
                              </w:rPr>
                              <w:t xml:space="preserve"> (n = 10,697)</w:t>
                            </w:r>
                          </w:p>
                          <w:p w14:paraId="3B4B8F68"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Medlline (n=2261)</w:t>
                            </w:r>
                          </w:p>
                          <w:p w14:paraId="5CC953C8"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Embase (n=3662)</w:t>
                            </w:r>
                          </w:p>
                          <w:p w14:paraId="32A0190B"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Cinahl (n=1142)</w:t>
                            </w:r>
                          </w:p>
                          <w:p w14:paraId="42ED785D"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PsycInfo (n=262)</w:t>
                            </w:r>
                          </w:p>
                          <w:p w14:paraId="2B2F588F"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Web of Science (n=3008)</w:t>
                            </w:r>
                          </w:p>
                          <w:p w14:paraId="52653872"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CENTRAL (n=237)</w:t>
                            </w:r>
                          </w:p>
                          <w:p w14:paraId="103346BB" w14:textId="77777777" w:rsidR="000B7B7D" w:rsidRPr="00560609" w:rsidRDefault="000B7B7D" w:rsidP="00885640">
                            <w:pPr>
                              <w:ind w:left="284"/>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A4A34" id="Rectangle 19" o:spid="_x0000_s1028" style="position:absolute;margin-left:43.55pt;margin-top:6.25pt;width:148.6pt;height:10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" filled="f" strokecolor="black [3213]" strokeweight="2pt">
                <v:textbox>
                  <w:txbxContent>
                    <w:p w14:paraId="72499A2E" w14:textId="77777777" w:rsidR="000B7B7D" w:rsidRDefault="000B7B7D" w:rsidP="00885640">
                      <w:pP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 search:</w:t>
                      </w:r>
                    </w:p>
                    <w:p w14:paraId="0CACCF6D" w14:textId="77777777" w:rsidR="000B7B7D" w:rsidRDefault="000B7B7D" w:rsidP="00885640">
                      <w:pPr>
                        <w:ind w:left="284"/>
                        <w:rPr>
                          <w:rFonts w:ascii="Arial" w:hAnsi="Arial" w:cs="Arial"/>
                          <w:color w:val="000000" w:themeColor="text1"/>
                          <w:sz w:val="18"/>
                          <w:szCs w:val="20"/>
                        </w:rPr>
                      </w:pPr>
                      <w:r>
                        <w:rPr>
                          <w:rFonts w:ascii="Arial" w:hAnsi="Arial" w:cs="Arial"/>
                          <w:color w:val="000000" w:themeColor="text1"/>
                          <w:sz w:val="18"/>
                          <w:szCs w:val="20"/>
                        </w:rPr>
                        <w:t>Databases &amp; registers</w:t>
                      </w:r>
                    </w:p>
                    <w:p w14:paraId="5C9E2DB0" w14:textId="77777777" w:rsidR="000B7B7D" w:rsidRDefault="000B7B7D" w:rsidP="00885640">
                      <w:pPr>
                        <w:ind w:left="284"/>
                        <w:rPr>
                          <w:rFonts w:ascii="Arial" w:hAnsi="Arial" w:cs="Arial"/>
                          <w:color w:val="000000" w:themeColor="text1"/>
                          <w:sz w:val="18"/>
                          <w:szCs w:val="20"/>
                        </w:rPr>
                      </w:pPr>
                      <w:r>
                        <w:rPr>
                          <w:rFonts w:ascii="Arial" w:hAnsi="Arial" w:cs="Arial"/>
                          <w:color w:val="000000" w:themeColor="text1"/>
                          <w:sz w:val="18"/>
                          <w:szCs w:val="20"/>
                        </w:rPr>
                        <w:t xml:space="preserve"> (n = 10,697)</w:t>
                      </w:r>
                    </w:p>
                    <w:p w14:paraId="3B4B8F68" w14:textId="77777777" w:rsidR="000B7B7D" w:rsidRPr="00500431" w:rsidRDefault="000B7B7D" w:rsidP="00885640">
                      <w:pPr>
                        <w:ind w:left="284"/>
                        <w:rPr>
                          <w:rFonts w:ascii="Arial" w:hAnsi="Arial" w:cs="Arial"/>
                          <w:color w:val="000000" w:themeColor="text1"/>
                          <w:sz w:val="16"/>
                          <w:szCs w:val="16"/>
                        </w:rPr>
                      </w:pPr>
                      <w:proofErr w:type="spellStart"/>
                      <w:r w:rsidRPr="00500431">
                        <w:rPr>
                          <w:rFonts w:ascii="Arial" w:hAnsi="Arial" w:cs="Arial"/>
                          <w:color w:val="000000" w:themeColor="text1"/>
                          <w:sz w:val="16"/>
                          <w:szCs w:val="16"/>
                        </w:rPr>
                        <w:t>Medlline</w:t>
                      </w:r>
                      <w:proofErr w:type="spellEnd"/>
                      <w:r w:rsidRPr="00500431">
                        <w:rPr>
                          <w:rFonts w:ascii="Arial" w:hAnsi="Arial" w:cs="Arial"/>
                          <w:color w:val="000000" w:themeColor="text1"/>
                          <w:sz w:val="16"/>
                          <w:szCs w:val="16"/>
                        </w:rPr>
                        <w:t xml:space="preserve"> (n=2261)</w:t>
                      </w:r>
                    </w:p>
                    <w:p w14:paraId="5CC953C8"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Embase (n=3662)</w:t>
                      </w:r>
                    </w:p>
                    <w:p w14:paraId="32A0190B" w14:textId="77777777" w:rsidR="000B7B7D" w:rsidRPr="00500431" w:rsidRDefault="000B7B7D" w:rsidP="00885640">
                      <w:pPr>
                        <w:ind w:left="284"/>
                        <w:rPr>
                          <w:rFonts w:ascii="Arial" w:hAnsi="Arial" w:cs="Arial"/>
                          <w:color w:val="000000" w:themeColor="text1"/>
                          <w:sz w:val="16"/>
                          <w:szCs w:val="16"/>
                        </w:rPr>
                      </w:pPr>
                      <w:proofErr w:type="spellStart"/>
                      <w:r w:rsidRPr="00500431">
                        <w:rPr>
                          <w:rFonts w:ascii="Arial" w:hAnsi="Arial" w:cs="Arial"/>
                          <w:color w:val="000000" w:themeColor="text1"/>
                          <w:sz w:val="16"/>
                          <w:szCs w:val="16"/>
                        </w:rPr>
                        <w:t>Cinahl</w:t>
                      </w:r>
                      <w:proofErr w:type="spellEnd"/>
                      <w:r w:rsidRPr="00500431">
                        <w:rPr>
                          <w:rFonts w:ascii="Arial" w:hAnsi="Arial" w:cs="Arial"/>
                          <w:color w:val="000000" w:themeColor="text1"/>
                          <w:sz w:val="16"/>
                          <w:szCs w:val="16"/>
                        </w:rPr>
                        <w:t xml:space="preserve"> (n=1142)</w:t>
                      </w:r>
                    </w:p>
                    <w:p w14:paraId="42ED785D" w14:textId="77777777" w:rsidR="000B7B7D" w:rsidRPr="00500431" w:rsidRDefault="000B7B7D" w:rsidP="00885640">
                      <w:pPr>
                        <w:ind w:left="284"/>
                        <w:rPr>
                          <w:rFonts w:ascii="Arial" w:hAnsi="Arial" w:cs="Arial"/>
                          <w:color w:val="000000" w:themeColor="text1"/>
                          <w:sz w:val="16"/>
                          <w:szCs w:val="16"/>
                        </w:rPr>
                      </w:pPr>
                      <w:proofErr w:type="spellStart"/>
                      <w:r w:rsidRPr="00500431">
                        <w:rPr>
                          <w:rFonts w:ascii="Arial" w:hAnsi="Arial" w:cs="Arial"/>
                          <w:color w:val="000000" w:themeColor="text1"/>
                          <w:sz w:val="16"/>
                          <w:szCs w:val="16"/>
                        </w:rPr>
                        <w:t>PsycInfo</w:t>
                      </w:r>
                      <w:proofErr w:type="spellEnd"/>
                      <w:r w:rsidRPr="00500431">
                        <w:rPr>
                          <w:rFonts w:ascii="Arial" w:hAnsi="Arial" w:cs="Arial"/>
                          <w:color w:val="000000" w:themeColor="text1"/>
                          <w:sz w:val="16"/>
                          <w:szCs w:val="16"/>
                        </w:rPr>
                        <w:t xml:space="preserve"> (n=262)</w:t>
                      </w:r>
                    </w:p>
                    <w:p w14:paraId="2B2F588F"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Web of Science (n=3008)</w:t>
                      </w:r>
                    </w:p>
                    <w:p w14:paraId="52653872" w14:textId="77777777" w:rsidR="000B7B7D" w:rsidRPr="00500431" w:rsidRDefault="000B7B7D" w:rsidP="00885640">
                      <w:pPr>
                        <w:ind w:left="284"/>
                        <w:rPr>
                          <w:rFonts w:ascii="Arial" w:hAnsi="Arial" w:cs="Arial"/>
                          <w:color w:val="000000" w:themeColor="text1"/>
                          <w:sz w:val="16"/>
                          <w:szCs w:val="16"/>
                        </w:rPr>
                      </w:pPr>
                      <w:r w:rsidRPr="00500431">
                        <w:rPr>
                          <w:rFonts w:ascii="Arial" w:hAnsi="Arial" w:cs="Arial"/>
                          <w:color w:val="000000" w:themeColor="text1"/>
                          <w:sz w:val="16"/>
                          <w:szCs w:val="16"/>
                        </w:rPr>
                        <w:t>CENTRAL (n=237)</w:t>
                      </w:r>
                    </w:p>
                    <w:p w14:paraId="103346BB" w14:textId="77777777" w:rsidR="000B7B7D" w:rsidRPr="00560609" w:rsidRDefault="000B7B7D" w:rsidP="00885640">
                      <w:pPr>
                        <w:ind w:left="284"/>
                        <w:rPr>
                          <w:rFonts w:ascii="Arial" w:hAnsi="Arial" w:cs="Arial"/>
                          <w:color w:val="000000" w:themeColor="text1"/>
                          <w:sz w:val="18"/>
                          <w:szCs w:val="20"/>
                        </w:rPr>
                      </w:pPr>
                    </w:p>
                  </w:txbxContent>
                </v:textbox>
              </v:rect>
            </w:pict>
          </mc:Fallback>
        </mc:AlternateContent>
      </w:r>
    </w:p>
    <w:p w14:paraId="2A2793A3"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70528" behindDoc="0" locked="0" layoutInCell="1" allowOverlap="1" wp14:anchorId="4514C5C0" wp14:editId="48F33AEE">
                <wp:simplePos x="0" y="0"/>
                <wp:positionH relativeFrom="column">
                  <wp:posOffset>-404178</wp:posOffset>
                </wp:positionH>
                <wp:positionV relativeFrom="paragraph">
                  <wp:posOffset>323060</wp:posOffset>
                </wp:positionV>
                <wp:extent cx="1276985" cy="262890"/>
                <wp:effectExtent l="0" t="952" r="17462" b="17463"/>
                <wp:wrapNone/>
                <wp:docPr id="20" name="Flowchart: Alternate Process 31"/>
                <wp:cNvGraphicFramePr/>
                <a:graphic xmlns:a="http://schemas.openxmlformats.org/drawingml/2006/main">
                  <a:graphicData uri="http://schemas.microsoft.com/office/word/2010/wordprocessingShape">
                    <wps:wsp>
                      <wps:cNvSpPr/>
                      <wps:spPr>
                        <a:xfrm rot="16200000">
                          <a:off x="0" y="0"/>
                          <a:ext cx="1276985"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44496AC" w14:textId="77777777" w:rsidR="000B7B7D" w:rsidRPr="001502CF" w:rsidRDefault="000B7B7D" w:rsidP="00885640">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4C5C0" id="Flowchart: Alternate Process 31" o:spid="_x0000_s1029" type="#_x0000_t176" style="position:absolute;margin-left:-31.85pt;margin-top:25.45pt;width:100.55pt;height:20.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" filled="f" strokecolor="black [3213]" strokeweight="2pt">
                <v:textbox>
                  <w:txbxContent>
                    <w:p w14:paraId="544496AC" w14:textId="77777777" w:rsidR="000B7B7D" w:rsidRPr="001502CF" w:rsidRDefault="000B7B7D" w:rsidP="00885640">
                      <w:pPr>
                        <w:jc w:val="center"/>
                        <w:rPr>
                          <w:rFonts w:ascii="Arial" w:hAnsi="Arial" w:cs="Arial"/>
                          <w:b/>
                          <w:color w:val="000000" w:themeColor="text1"/>
                          <w:sz w:val="18"/>
                          <w:szCs w:val="18"/>
                        </w:rPr>
                      </w:pPr>
                      <w:r w:rsidRPr="001502CF">
                        <w:rPr>
                          <w:rFonts w:ascii="Arial" w:hAnsi="Arial" w:cs="Arial"/>
                          <w:b/>
                          <w:color w:val="000000" w:themeColor="text1"/>
                          <w:sz w:val="18"/>
                          <w:szCs w:val="18"/>
                        </w:rPr>
                        <w:t>Identification</w:t>
                      </w:r>
                    </w:p>
                  </w:txbxContent>
                </v:textbox>
              </v:shape>
            </w:pict>
          </mc:Fallback>
        </mc:AlternateContent>
      </w:r>
    </w:p>
    <w:p w14:paraId="4B579062" w14:textId="77777777" w:rsidR="00885640" w:rsidRPr="001E3A0E" w:rsidRDefault="00885640" w:rsidP="00885640">
      <w:pPr>
        <w:spacing w:line="360" w:lineRule="auto"/>
        <w:rPr>
          <w:sz w:val="24"/>
        </w:rPr>
      </w:pPr>
    </w:p>
    <w:p w14:paraId="794AD3F8" w14:textId="77777777" w:rsidR="00885640" w:rsidRPr="001E3A0E" w:rsidRDefault="00885640" w:rsidP="00885640">
      <w:pPr>
        <w:spacing w:line="360" w:lineRule="auto"/>
        <w:rPr>
          <w:sz w:val="24"/>
        </w:rPr>
      </w:pPr>
    </w:p>
    <w:p w14:paraId="46B2BF2A"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6432" behindDoc="0" locked="0" layoutInCell="1" allowOverlap="1" wp14:anchorId="362890AE" wp14:editId="4D434358">
                <wp:simplePos x="0" y="0"/>
                <wp:positionH relativeFrom="column">
                  <wp:posOffset>2454250</wp:posOffset>
                </wp:positionH>
                <wp:positionV relativeFrom="paragraph">
                  <wp:posOffset>9550</wp:posOffset>
                </wp:positionV>
                <wp:extent cx="563270" cy="0"/>
                <wp:effectExtent l="0" t="76200" r="27305" b="95250"/>
                <wp:wrapNone/>
                <wp:docPr id="21" name="Straight Arrow Connector 21"/>
                <wp:cNvGraphicFramePr/>
                <a:graphic xmlns:a="http://schemas.openxmlformats.org/drawingml/2006/main">
                  <a:graphicData uri="http://schemas.microsoft.com/office/word/2010/wordprocessingShape">
                    <wps:wsp>
                      <wps:cNvCnPr/>
                      <wps:spPr>
                        <a:xfrm>
                          <a:off x="0" y="0"/>
                          <a:ext cx="56327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25B022" id="_x0000_t32" coordsize="21600,21600" o:spt="32" o:oned="t" path="m,l21600,21600e" filled="f">
                <v:path arrowok="t" fillok="f" o:connecttype="none"/>
                <o:lock v:ext="edit" shapetype="t"/>
              </v:shapetype>
              <v:shape id="Straight Arrow Connector 21" o:spid="_x0000_s1026" type="#_x0000_t32" style="position:absolute;margin-left:193.25pt;margin-top:.75pt;width:44.3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" strokecolor="black [3213]">
                <v:stroke endarrow="block"/>
              </v:shape>
            </w:pict>
          </mc:Fallback>
        </mc:AlternateContent>
      </w:r>
    </w:p>
    <w:p w14:paraId="525C81A7" w14:textId="77777777" w:rsidR="00885640" w:rsidRPr="001E3A0E" w:rsidRDefault="00885640" w:rsidP="00885640">
      <w:pPr>
        <w:spacing w:line="360" w:lineRule="auto"/>
        <w:rPr>
          <w:sz w:val="24"/>
        </w:rPr>
      </w:pPr>
      <w:r w:rsidRPr="001E3A0E">
        <w:rPr>
          <w:noProof/>
          <w:color w:val="000000" w:themeColor="text1"/>
          <w:sz w:val="24"/>
        </w:rPr>
        <mc:AlternateContent>
          <mc:Choice Requires="wps">
            <w:drawing>
              <wp:anchor distT="0" distB="0" distL="114300" distR="114300" simplePos="0" relativeHeight="251675648" behindDoc="0" locked="0" layoutInCell="1" allowOverlap="1" wp14:anchorId="287B6288" wp14:editId="207FD3E6">
                <wp:simplePos x="0" y="0"/>
                <wp:positionH relativeFrom="column">
                  <wp:posOffset>1403202</wp:posOffset>
                </wp:positionH>
                <wp:positionV relativeFrom="paragraph">
                  <wp:posOffset>45026</wp:posOffset>
                </wp:positionV>
                <wp:extent cx="0" cy="474212"/>
                <wp:effectExtent l="63500" t="0" r="76200" b="34290"/>
                <wp:wrapNone/>
                <wp:docPr id="22" name="Straight Arrow Connector 22"/>
                <wp:cNvGraphicFramePr/>
                <a:graphic xmlns:a="http://schemas.openxmlformats.org/drawingml/2006/main">
                  <a:graphicData uri="http://schemas.microsoft.com/office/word/2010/wordprocessingShape">
                    <wps:wsp>
                      <wps:cNvCnPr/>
                      <wps:spPr>
                        <a:xfrm>
                          <a:off x="0" y="0"/>
                          <a:ext cx="0" cy="47421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360F2C" id="Straight Arrow Connector 22" o:spid="_x0000_s1026" type="#_x0000_t32" style="position:absolute;margin-left:110.5pt;margin-top:3.55pt;width:0;height:37.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" strokecolor="black [3213]">
                <v:stroke endarrow="block"/>
              </v:shape>
            </w:pict>
          </mc:Fallback>
        </mc:AlternateContent>
      </w:r>
    </w:p>
    <w:p w14:paraId="41E6C3E0"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2336" behindDoc="0" locked="0" layoutInCell="1" allowOverlap="1" wp14:anchorId="62F0E5E2" wp14:editId="4EB00C4E">
                <wp:simplePos x="0" y="0"/>
                <wp:positionH relativeFrom="column">
                  <wp:posOffset>3040913</wp:posOffset>
                </wp:positionH>
                <wp:positionV relativeFrom="paragraph">
                  <wp:posOffset>224450</wp:posOffset>
                </wp:positionV>
                <wp:extent cx="1867284" cy="526415"/>
                <wp:effectExtent l="0" t="0" r="12700" b="6985"/>
                <wp:wrapNone/>
                <wp:docPr id="23" name="Rectangle 23"/>
                <wp:cNvGraphicFramePr/>
                <a:graphic xmlns:a="http://schemas.openxmlformats.org/drawingml/2006/main">
                  <a:graphicData uri="http://schemas.microsoft.com/office/word/2010/wordprocessingShape">
                    <wps:wsp>
                      <wps:cNvSpPr/>
                      <wps:spPr>
                        <a:xfrm>
                          <a:off x="0" y="0"/>
                          <a:ext cx="1867284"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6BE2E" w14:textId="77777777" w:rsidR="000B7B7D" w:rsidRPr="00560609"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4977)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E5E2" id="Rectangle 23" o:spid="_x0000_s1030" style="position:absolute;margin-left:239.45pt;margin-top:17.65pt;width:147.05pt;height:4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" filled="f" strokecolor="black [3213]" strokeweight="2pt">
                <v:textbox>
                  <w:txbxContent>
                    <w:p w14:paraId="6E16BE2E" w14:textId="77777777" w:rsidR="000B7B7D" w:rsidRPr="00560609"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excluded (n = 4977)</w:t>
                      </w:r>
                    </w:p>
                  </w:txbxContent>
                </v:textbox>
              </v:rect>
            </w:pict>
          </mc:Fallback>
        </mc:AlternateContent>
      </w:r>
      <w:r w:rsidRPr="001E3A0E">
        <w:rPr>
          <w:noProof/>
          <w:sz w:val="24"/>
        </w:rPr>
        <mc:AlternateContent>
          <mc:Choice Requires="wps">
            <w:drawing>
              <wp:anchor distT="0" distB="0" distL="114300" distR="114300" simplePos="0" relativeHeight="251661312" behindDoc="0" locked="0" layoutInCell="1" allowOverlap="1" wp14:anchorId="52D4FA2E" wp14:editId="4F8E9B7D">
                <wp:simplePos x="0" y="0"/>
                <wp:positionH relativeFrom="column">
                  <wp:posOffset>559435</wp:posOffset>
                </wp:positionH>
                <wp:positionV relativeFrom="paragraph">
                  <wp:posOffset>253203</wp:posOffset>
                </wp:positionV>
                <wp:extent cx="1887220" cy="526415"/>
                <wp:effectExtent l="0" t="0" r="17780" b="6985"/>
                <wp:wrapNone/>
                <wp:docPr id="24" name="Rectangle 24"/>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D8C96" w14:textId="77777777" w:rsidR="000B7B7D" w:rsidRPr="00560609"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for titles and abstract (n = 5078)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FA2E" id="Rectangle 24" o:spid="_x0000_s1031" style="position:absolute;margin-left:44.05pt;margin-top:19.95pt;width:148.6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" filled="f" strokecolor="black [3213]" strokeweight="2pt">
                <v:textbox>
                  <w:txbxContent>
                    <w:p w14:paraId="5DED8C96" w14:textId="77777777" w:rsidR="000B7B7D" w:rsidRPr="00560609"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screened for titles and abstract (n = 5078)</w:t>
                      </w:r>
                    </w:p>
                  </w:txbxContent>
                </v:textbox>
              </v:rect>
            </w:pict>
          </mc:Fallback>
        </mc:AlternateContent>
      </w:r>
    </w:p>
    <w:p w14:paraId="4CF54AE8"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7456" behindDoc="0" locked="0" layoutInCell="1" allowOverlap="1" wp14:anchorId="2CEFF004" wp14:editId="0BD7889F">
                <wp:simplePos x="0" y="0"/>
                <wp:positionH relativeFrom="column">
                  <wp:posOffset>2453640</wp:posOffset>
                </wp:positionH>
                <wp:positionV relativeFrom="paragraph">
                  <wp:posOffset>252568</wp:posOffset>
                </wp:positionV>
                <wp:extent cx="563245" cy="0"/>
                <wp:effectExtent l="0" t="63500" r="0" b="76200"/>
                <wp:wrapNone/>
                <wp:docPr id="25" name="Straight Arrow Connector 25"/>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5EBD3F" id="Straight Arrow Connector 25" o:spid="_x0000_s1026" type="#_x0000_t32" style="position:absolute;margin-left:193.2pt;margin-top:19.9pt;width:44.3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" strokecolor="black [3213]">
                <v:stroke endarrow="block"/>
              </v:shape>
            </w:pict>
          </mc:Fallback>
        </mc:AlternateContent>
      </w:r>
    </w:p>
    <w:p w14:paraId="79477AA6"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71552" behindDoc="0" locked="0" layoutInCell="1" allowOverlap="1" wp14:anchorId="66A0F3F5" wp14:editId="47BBE0AF">
                <wp:simplePos x="0" y="0"/>
                <wp:positionH relativeFrom="column">
                  <wp:posOffset>-762000</wp:posOffset>
                </wp:positionH>
                <wp:positionV relativeFrom="paragraph">
                  <wp:posOffset>264795</wp:posOffset>
                </wp:positionV>
                <wp:extent cx="1988177" cy="262890"/>
                <wp:effectExtent l="5080" t="0" r="17780" b="17780"/>
                <wp:wrapNone/>
                <wp:docPr id="26" name="Flowchart: Alternate Process 32"/>
                <wp:cNvGraphicFramePr/>
                <a:graphic xmlns:a="http://schemas.openxmlformats.org/drawingml/2006/main">
                  <a:graphicData uri="http://schemas.microsoft.com/office/word/2010/wordprocessingShape">
                    <wps:wsp>
                      <wps:cNvSpPr/>
                      <wps:spPr>
                        <a:xfrm rot="16200000">
                          <a:off x="0" y="0"/>
                          <a:ext cx="1988177"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AC16D7B" w14:textId="77777777" w:rsidR="000B7B7D" w:rsidRDefault="000B7B7D" w:rsidP="00885640">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991DA54" w14:textId="77777777" w:rsidR="000B7B7D" w:rsidRPr="001502CF" w:rsidRDefault="000B7B7D" w:rsidP="00885640">
                            <w:pPr>
                              <w:rPr>
                                <w:rFonts w:ascii="Arial" w:hAnsi="Arial" w:cs="Arial"/>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0F3F5" id="Flowchart: Alternate Process 32" o:spid="_x0000_s1032" type="#_x0000_t176" style="position:absolute;margin-left:-60pt;margin-top:20.85pt;width:156.55pt;height:2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" filled="f" strokecolor="black [3213]" strokeweight="2pt">
                <v:textbox>
                  <w:txbxContent>
                    <w:p w14:paraId="4AC16D7B" w14:textId="77777777" w:rsidR="000B7B7D" w:rsidRDefault="000B7B7D" w:rsidP="00885640">
                      <w:pPr>
                        <w:jc w:val="center"/>
                        <w:rPr>
                          <w:rFonts w:ascii="Arial" w:hAnsi="Arial" w:cs="Arial"/>
                          <w:b/>
                          <w:color w:val="000000" w:themeColor="text1"/>
                          <w:sz w:val="18"/>
                          <w:szCs w:val="18"/>
                        </w:rPr>
                      </w:pPr>
                      <w:r>
                        <w:rPr>
                          <w:rFonts w:ascii="Arial" w:hAnsi="Arial" w:cs="Arial"/>
                          <w:b/>
                          <w:color w:val="000000" w:themeColor="text1"/>
                          <w:sz w:val="18"/>
                          <w:szCs w:val="18"/>
                        </w:rPr>
                        <w:t>Screening</w:t>
                      </w:r>
                    </w:p>
                    <w:p w14:paraId="7991DA54" w14:textId="77777777" w:rsidR="000B7B7D" w:rsidRPr="001502CF" w:rsidRDefault="000B7B7D" w:rsidP="00885640">
                      <w:pPr>
                        <w:rPr>
                          <w:rFonts w:ascii="Arial" w:hAnsi="Arial" w:cs="Arial"/>
                          <w:b/>
                          <w:color w:val="000000" w:themeColor="text1"/>
                          <w:sz w:val="18"/>
                          <w:szCs w:val="18"/>
                        </w:rPr>
                      </w:pPr>
                    </w:p>
                  </w:txbxContent>
                </v:textbox>
              </v:shape>
            </w:pict>
          </mc:Fallback>
        </mc:AlternateContent>
      </w:r>
    </w:p>
    <w:p w14:paraId="46392060"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4384" behindDoc="0" locked="0" layoutInCell="1" allowOverlap="1" wp14:anchorId="0DA77BE2" wp14:editId="6D484C90">
                <wp:simplePos x="0" y="0"/>
                <wp:positionH relativeFrom="column">
                  <wp:posOffset>3040380</wp:posOffset>
                </wp:positionH>
                <wp:positionV relativeFrom="paragraph">
                  <wp:posOffset>30007</wp:posOffset>
                </wp:positionV>
                <wp:extent cx="1866900" cy="1169581"/>
                <wp:effectExtent l="0" t="0" r="12700" b="12065"/>
                <wp:wrapNone/>
                <wp:docPr id="28" name="Rectangle 28"/>
                <wp:cNvGraphicFramePr/>
                <a:graphic xmlns:a="http://schemas.openxmlformats.org/drawingml/2006/main">
                  <a:graphicData uri="http://schemas.microsoft.com/office/word/2010/wordprocessingShape">
                    <wps:wsp>
                      <wps:cNvSpPr/>
                      <wps:spPr>
                        <a:xfrm>
                          <a:off x="0" y="0"/>
                          <a:ext cx="1866900" cy="116958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0D7BC"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 xml:space="preserve">Records excluded with reason </w:t>
                            </w:r>
                          </w:p>
                          <w:p w14:paraId="1B10FF92"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 = 57):</w:t>
                            </w:r>
                          </w:p>
                          <w:p w14:paraId="76294752"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population (n = 7)</w:t>
                            </w:r>
                          </w:p>
                          <w:p w14:paraId="28A21957"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outcome (n = 26)</w:t>
                            </w:r>
                          </w:p>
                          <w:p w14:paraId="6DB2DE84"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study design (n = 1)</w:t>
                            </w:r>
                          </w:p>
                          <w:p w14:paraId="020F6BD6"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non-English (n = 1)</w:t>
                            </w:r>
                          </w:p>
                          <w:p w14:paraId="24A8AA37"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conference abstract (n = 21)</w:t>
                            </w:r>
                          </w:p>
                          <w:p w14:paraId="7596BFAB"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not found (n = 1)</w:t>
                            </w:r>
                          </w:p>
                          <w:p w14:paraId="3344031A" w14:textId="77777777" w:rsidR="000B7B7D" w:rsidRPr="00560609" w:rsidRDefault="000B7B7D" w:rsidP="00885640">
                            <w:pPr>
                              <w:jc w:val="center"/>
                              <w:rPr>
                                <w:rFonts w:ascii="Arial" w:hAnsi="Arial" w:cs="Arial"/>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77BE2" id="Rectangle 28" o:spid="_x0000_s1033" style="position:absolute;margin-left:239.4pt;margin-top:2.35pt;width:147pt;height:9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" filled="f" strokecolor="black [3213]" strokeweight="2pt">
                <v:textbox>
                  <w:txbxContent>
                    <w:p w14:paraId="0370D7BC"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 xml:space="preserve">Records excluded with reason </w:t>
                      </w:r>
                    </w:p>
                    <w:p w14:paraId="1B10FF92"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 = 57):</w:t>
                      </w:r>
                    </w:p>
                    <w:p w14:paraId="76294752"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population (n = 7)</w:t>
                      </w:r>
                    </w:p>
                    <w:p w14:paraId="28A21957"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outcome (n = 26)</w:t>
                      </w:r>
                    </w:p>
                    <w:p w14:paraId="6DB2DE84"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study design (n = 1)</w:t>
                      </w:r>
                    </w:p>
                    <w:p w14:paraId="020F6BD6"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non-English (n = 1)</w:t>
                      </w:r>
                    </w:p>
                    <w:p w14:paraId="24A8AA37"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conference abstract (n = 21)</w:t>
                      </w:r>
                    </w:p>
                    <w:p w14:paraId="7596BFAB" w14:textId="77777777" w:rsidR="000B7B7D" w:rsidRDefault="000B7B7D" w:rsidP="00885640">
                      <w:pPr>
                        <w:rPr>
                          <w:rFonts w:ascii="Arial" w:hAnsi="Arial" w:cs="Arial"/>
                          <w:color w:val="000000" w:themeColor="text1"/>
                          <w:sz w:val="18"/>
                          <w:szCs w:val="20"/>
                        </w:rPr>
                      </w:pPr>
                      <w:r>
                        <w:rPr>
                          <w:rFonts w:ascii="Arial" w:hAnsi="Arial" w:cs="Arial"/>
                          <w:color w:val="000000" w:themeColor="text1"/>
                          <w:sz w:val="18"/>
                          <w:szCs w:val="20"/>
                        </w:rPr>
                        <w:t>not found (n = 1)</w:t>
                      </w:r>
                    </w:p>
                    <w:p w14:paraId="3344031A" w14:textId="77777777" w:rsidR="000B7B7D" w:rsidRPr="00560609" w:rsidRDefault="000B7B7D" w:rsidP="00885640">
                      <w:pPr>
                        <w:jc w:val="center"/>
                        <w:rPr>
                          <w:rFonts w:ascii="Arial" w:hAnsi="Arial" w:cs="Arial"/>
                          <w:color w:val="000000" w:themeColor="text1"/>
                          <w:sz w:val="18"/>
                          <w:szCs w:val="20"/>
                        </w:rPr>
                      </w:pPr>
                    </w:p>
                  </w:txbxContent>
                </v:textbox>
              </v:rect>
            </w:pict>
          </mc:Fallback>
        </mc:AlternateContent>
      </w:r>
      <w:r w:rsidRPr="001E3A0E">
        <w:rPr>
          <w:noProof/>
          <w:sz w:val="24"/>
        </w:rPr>
        <mc:AlternateContent>
          <mc:Choice Requires="wps">
            <w:drawing>
              <wp:anchor distT="0" distB="0" distL="114300" distR="114300" simplePos="0" relativeHeight="251672576" behindDoc="0" locked="0" layoutInCell="1" allowOverlap="1" wp14:anchorId="09AE2AC0" wp14:editId="79AAB3BB">
                <wp:simplePos x="0" y="0"/>
                <wp:positionH relativeFrom="column">
                  <wp:posOffset>1400175</wp:posOffset>
                </wp:positionH>
                <wp:positionV relativeFrom="paragraph">
                  <wp:posOffset>8417</wp:posOffset>
                </wp:positionV>
                <wp:extent cx="0" cy="281305"/>
                <wp:effectExtent l="63500" t="0" r="76200" b="36195"/>
                <wp:wrapNone/>
                <wp:docPr id="27" name="Straight Arrow Connector 27"/>
                <wp:cNvGraphicFramePr/>
                <a:graphic xmlns:a="http://schemas.openxmlformats.org/drawingml/2006/main">
                  <a:graphicData uri="http://schemas.microsoft.com/office/word/2010/wordprocessingShape">
                    <wps:wsp>
                      <wps:cNvCnPr/>
                      <wps:spPr>
                        <a:xfrm>
                          <a:off x="0" y="0"/>
                          <a:ext cx="0" cy="2813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F40EB" id="Straight Arrow Connector 27" o:spid="_x0000_s1026" type="#_x0000_t32" style="position:absolute;margin-left:110.25pt;margin-top:.65pt;width:0;height:22.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" strokecolor="black [3213]">
                <v:stroke endarrow="block"/>
              </v:shape>
            </w:pict>
          </mc:Fallback>
        </mc:AlternateContent>
      </w:r>
    </w:p>
    <w:p w14:paraId="189BD646"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8480" behindDoc="0" locked="0" layoutInCell="1" allowOverlap="1" wp14:anchorId="24BDFEAD" wp14:editId="27E00280">
                <wp:simplePos x="0" y="0"/>
                <wp:positionH relativeFrom="column">
                  <wp:posOffset>2463165</wp:posOffset>
                </wp:positionH>
                <wp:positionV relativeFrom="paragraph">
                  <wp:posOffset>257175</wp:posOffset>
                </wp:positionV>
                <wp:extent cx="563245" cy="0"/>
                <wp:effectExtent l="0" t="63500" r="0" b="76200"/>
                <wp:wrapNone/>
                <wp:docPr id="34" name="Straight Arrow Connector 34"/>
                <wp:cNvGraphicFramePr/>
                <a:graphic xmlns:a="http://schemas.openxmlformats.org/drawingml/2006/main">
                  <a:graphicData uri="http://schemas.microsoft.com/office/word/2010/wordprocessingShape">
                    <wps:wsp>
                      <wps:cNvCnPr/>
                      <wps:spPr>
                        <a:xfrm>
                          <a:off x="0" y="0"/>
                          <a:ext cx="56324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EF8006" id="Straight Arrow Connector 34" o:spid="_x0000_s1026" type="#_x0000_t32" style="position:absolute;margin-left:193.95pt;margin-top:20.25pt;width:44.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" strokecolor="black [3213]">
                <v:stroke endarrow="block"/>
              </v:shape>
            </w:pict>
          </mc:Fallback>
        </mc:AlternateContent>
      </w:r>
      <w:r w:rsidRPr="001E3A0E">
        <w:rPr>
          <w:noProof/>
          <w:sz w:val="24"/>
        </w:rPr>
        <mc:AlternateContent>
          <mc:Choice Requires="wps">
            <w:drawing>
              <wp:anchor distT="0" distB="0" distL="114300" distR="114300" simplePos="0" relativeHeight="251663360" behindDoc="0" locked="0" layoutInCell="1" allowOverlap="1" wp14:anchorId="57CC9F32" wp14:editId="600431EE">
                <wp:simplePos x="0" y="0"/>
                <wp:positionH relativeFrom="column">
                  <wp:posOffset>560705</wp:posOffset>
                </wp:positionH>
                <wp:positionV relativeFrom="paragraph">
                  <wp:posOffset>28737</wp:posOffset>
                </wp:positionV>
                <wp:extent cx="1887220" cy="526415"/>
                <wp:effectExtent l="0" t="0" r="17780" b="6985"/>
                <wp:wrapNone/>
                <wp:docPr id="30" name="Rectangle 30"/>
                <wp:cNvGraphicFramePr/>
                <a:graphic xmlns:a="http://schemas.openxmlformats.org/drawingml/2006/main">
                  <a:graphicData uri="http://schemas.microsoft.com/office/word/2010/wordprocessingShape">
                    <wps:wsp>
                      <wps:cNvSpPr/>
                      <wps:spPr>
                        <a:xfrm>
                          <a:off x="0" y="0"/>
                          <a:ext cx="1887220" cy="526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9325F"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Records screened for full-text review (n = 101)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C9F32" id="Rectangle 30" o:spid="_x0000_s1034" style="position:absolute;margin-left:44.15pt;margin-top:2.25pt;width:148.6pt;height:4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" filled="f" strokecolor="black [3213]" strokeweight="2pt">
                <v:textbox>
                  <w:txbxContent>
                    <w:p w14:paraId="1BC9325F"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Records screened for full-text review (n = 101)</w:t>
                      </w:r>
                    </w:p>
                  </w:txbxContent>
                </v:textbox>
              </v:rect>
            </w:pict>
          </mc:Fallback>
        </mc:AlternateContent>
      </w:r>
    </w:p>
    <w:p w14:paraId="2D77F547" w14:textId="77777777" w:rsidR="00885640" w:rsidRPr="001E3A0E" w:rsidRDefault="00885640" w:rsidP="00885640">
      <w:pPr>
        <w:spacing w:line="360" w:lineRule="auto"/>
        <w:rPr>
          <w:sz w:val="24"/>
        </w:rPr>
      </w:pPr>
    </w:p>
    <w:p w14:paraId="6E0960F5"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78720" behindDoc="0" locked="0" layoutInCell="1" allowOverlap="1" wp14:anchorId="1BFC5F77" wp14:editId="3BE71034">
                <wp:simplePos x="0" y="0"/>
                <wp:positionH relativeFrom="column">
                  <wp:posOffset>1403202</wp:posOffset>
                </wp:positionH>
                <wp:positionV relativeFrom="paragraph">
                  <wp:posOffset>31839</wp:posOffset>
                </wp:positionV>
                <wp:extent cx="0" cy="376806"/>
                <wp:effectExtent l="63500" t="0" r="38100" b="29845"/>
                <wp:wrapNone/>
                <wp:docPr id="3" name="Straight Arrow Connector 3"/>
                <wp:cNvGraphicFramePr/>
                <a:graphic xmlns:a="http://schemas.openxmlformats.org/drawingml/2006/main">
                  <a:graphicData uri="http://schemas.microsoft.com/office/word/2010/wordprocessingShape">
                    <wps:wsp>
                      <wps:cNvCnPr/>
                      <wps:spPr>
                        <a:xfrm>
                          <a:off x="0" y="0"/>
                          <a:ext cx="0" cy="376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189E2" id="Straight Arrow Connector 3" o:spid="_x0000_s1026" type="#_x0000_t32" style="position:absolute;margin-left:110.5pt;margin-top:2.5pt;width:0;height:29.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" strokecolor="black [3040]">
                <v:stroke endarrow="block"/>
              </v:shape>
            </w:pict>
          </mc:Fallback>
        </mc:AlternateContent>
      </w:r>
    </w:p>
    <w:p w14:paraId="78D991BC"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65408" behindDoc="0" locked="0" layoutInCell="1" allowOverlap="1" wp14:anchorId="2A6568AB" wp14:editId="0F6D306E">
                <wp:simplePos x="0" y="0"/>
                <wp:positionH relativeFrom="column">
                  <wp:posOffset>552450</wp:posOffset>
                </wp:positionH>
                <wp:positionV relativeFrom="paragraph">
                  <wp:posOffset>156372</wp:posOffset>
                </wp:positionV>
                <wp:extent cx="1886585" cy="563245"/>
                <wp:effectExtent l="0" t="0" r="18415" b="8255"/>
                <wp:wrapNone/>
                <wp:docPr id="37" name="Rectangle 37"/>
                <wp:cNvGraphicFramePr/>
                <a:graphic xmlns:a="http://schemas.openxmlformats.org/drawingml/2006/main">
                  <a:graphicData uri="http://schemas.microsoft.com/office/word/2010/wordprocessingShape">
                    <wps:wsp>
                      <wps:cNvSpPr/>
                      <wps:spPr>
                        <a:xfrm>
                          <a:off x="0" y="0"/>
                          <a:ext cx="1886585" cy="563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EE45B" w14:textId="77777777" w:rsidR="000B7B7D"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Studies included in review</w:t>
                            </w:r>
                          </w:p>
                          <w:p w14:paraId="41FB3420"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(n = 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568AB" id="Rectangle 37" o:spid="_x0000_s1035" style="position:absolute;margin-left:43.5pt;margin-top:12.3pt;width:148.5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" filled="f" strokecolor="black [3213]" strokeweight="2pt">
                <v:textbox>
                  <w:txbxContent>
                    <w:p w14:paraId="202EE45B" w14:textId="77777777" w:rsidR="000B7B7D"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Studies included in review</w:t>
                      </w:r>
                    </w:p>
                    <w:p w14:paraId="41FB3420"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(n = 44)</w:t>
                      </w:r>
                    </w:p>
                  </w:txbxContent>
                </v:textbox>
              </v:rect>
            </w:pict>
          </mc:Fallback>
        </mc:AlternateContent>
      </w:r>
      <w:r w:rsidRPr="001E3A0E">
        <w:rPr>
          <w:noProof/>
          <w:sz w:val="24"/>
        </w:rPr>
        <mc:AlternateContent>
          <mc:Choice Requires="wps">
            <w:drawing>
              <wp:anchor distT="0" distB="0" distL="114300" distR="114300" simplePos="0" relativeHeight="251673600" behindDoc="0" locked="0" layoutInCell="1" allowOverlap="1" wp14:anchorId="6AE7AA4D" wp14:editId="547D2A9B">
                <wp:simplePos x="0" y="0"/>
                <wp:positionH relativeFrom="column">
                  <wp:posOffset>3030220</wp:posOffset>
                </wp:positionH>
                <wp:positionV relativeFrom="paragraph">
                  <wp:posOffset>264160</wp:posOffset>
                </wp:positionV>
                <wp:extent cx="1877695" cy="435610"/>
                <wp:effectExtent l="0" t="0" r="14605" b="8890"/>
                <wp:wrapNone/>
                <wp:docPr id="38" name="Rectangle 38"/>
                <wp:cNvGraphicFramePr/>
                <a:graphic xmlns:a="http://schemas.openxmlformats.org/drawingml/2006/main">
                  <a:graphicData uri="http://schemas.microsoft.com/office/word/2010/wordprocessingShape">
                    <wps:wsp>
                      <wps:cNvSpPr/>
                      <wps:spPr>
                        <a:xfrm>
                          <a:off x="0" y="0"/>
                          <a:ext cx="1877695" cy="4356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DC0973" w14:textId="77777777" w:rsidR="000B7B7D"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A63323A"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 xml:space="preserve">Citation </w:t>
                            </w:r>
                            <w:r w:rsidRPr="00EE1396">
                              <w:rPr>
                                <w:rFonts w:ascii="Arial" w:hAnsi="Arial" w:cs="Arial"/>
                                <w:color w:val="000000" w:themeColor="text1"/>
                                <w:sz w:val="18"/>
                                <w:szCs w:val="20"/>
                              </w:rPr>
                              <w:t>searching</w:t>
                            </w:r>
                            <w:r>
                              <w:rPr>
                                <w:rFonts w:ascii="Arial" w:hAnsi="Arial" w:cs="Arial"/>
                                <w:color w:val="000000" w:themeColor="text1"/>
                                <w:sz w:val="18"/>
                                <w:szCs w:val="20"/>
                              </w:rPr>
                              <w:t xml:space="preserve"> (n =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7AA4D" id="Rectangle 38" o:spid="_x0000_s1036" style="position:absolute;margin-left:238.6pt;margin-top:20.8pt;width:147.8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" filled="f" strokecolor="black [3213]" strokeweight="2pt">
                <v:textbox>
                  <w:txbxContent>
                    <w:p w14:paraId="1EDC0973" w14:textId="77777777" w:rsidR="000B7B7D" w:rsidRDefault="000B7B7D" w:rsidP="00885640">
                      <w:pPr>
                        <w:jc w:val="center"/>
                        <w:rPr>
                          <w:rFonts w:ascii="Arial" w:hAnsi="Arial" w:cs="Arial"/>
                          <w:color w:val="000000" w:themeColor="text1"/>
                          <w:sz w:val="18"/>
                          <w:szCs w:val="20"/>
                        </w:rPr>
                      </w:pPr>
                      <w:r w:rsidRPr="00560609">
                        <w:rPr>
                          <w:rFonts w:ascii="Arial" w:hAnsi="Arial" w:cs="Arial"/>
                          <w:color w:val="000000" w:themeColor="text1"/>
                          <w:sz w:val="18"/>
                          <w:szCs w:val="20"/>
                        </w:rPr>
                        <w:t>Records</w:t>
                      </w:r>
                      <w:r>
                        <w:rPr>
                          <w:rFonts w:ascii="Arial" w:hAnsi="Arial" w:cs="Arial"/>
                          <w:color w:val="000000" w:themeColor="text1"/>
                          <w:sz w:val="18"/>
                          <w:szCs w:val="20"/>
                        </w:rPr>
                        <w:t xml:space="preserve"> identified from:</w:t>
                      </w:r>
                    </w:p>
                    <w:p w14:paraId="7A63323A"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 xml:space="preserve">Citation </w:t>
                      </w:r>
                      <w:r w:rsidRPr="00EE1396">
                        <w:rPr>
                          <w:rFonts w:ascii="Arial" w:hAnsi="Arial" w:cs="Arial"/>
                          <w:color w:val="000000" w:themeColor="text1"/>
                          <w:sz w:val="18"/>
                          <w:szCs w:val="20"/>
                        </w:rPr>
                        <w:t>searching</w:t>
                      </w:r>
                      <w:r>
                        <w:rPr>
                          <w:rFonts w:ascii="Arial" w:hAnsi="Arial" w:cs="Arial"/>
                          <w:color w:val="000000" w:themeColor="text1"/>
                          <w:sz w:val="18"/>
                          <w:szCs w:val="20"/>
                        </w:rPr>
                        <w:t xml:space="preserve"> (n = 16)</w:t>
                      </w:r>
                    </w:p>
                  </w:txbxContent>
                </v:textbox>
              </v:rect>
            </w:pict>
          </mc:Fallback>
        </mc:AlternateContent>
      </w:r>
    </w:p>
    <w:p w14:paraId="4DB8C784" w14:textId="77777777" w:rsidR="00885640" w:rsidRPr="001E3A0E" w:rsidRDefault="00885640" w:rsidP="00885640">
      <w:pPr>
        <w:spacing w:line="360" w:lineRule="auto"/>
        <w:rPr>
          <w:sz w:val="24"/>
        </w:rPr>
      </w:pPr>
    </w:p>
    <w:p w14:paraId="44CAF449"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79744" behindDoc="0" locked="0" layoutInCell="1" allowOverlap="1" wp14:anchorId="60D86608" wp14:editId="68CF260F">
                <wp:simplePos x="0" y="0"/>
                <wp:positionH relativeFrom="column">
                  <wp:posOffset>-409575</wp:posOffset>
                </wp:positionH>
                <wp:positionV relativeFrom="paragraph">
                  <wp:posOffset>242570</wp:posOffset>
                </wp:positionV>
                <wp:extent cx="1299210" cy="262890"/>
                <wp:effectExtent l="3810" t="0" r="19050" b="19050"/>
                <wp:wrapNone/>
                <wp:docPr id="39" name="Flowchart: Alternate Process 33"/>
                <wp:cNvGraphicFramePr/>
                <a:graphic xmlns:a="http://schemas.openxmlformats.org/drawingml/2006/main">
                  <a:graphicData uri="http://schemas.microsoft.com/office/word/2010/wordprocessingShape">
                    <wps:wsp>
                      <wps:cNvSpPr/>
                      <wps:spPr>
                        <a:xfrm rot="16200000">
                          <a:off x="0" y="0"/>
                          <a:ext cx="1299210" cy="262890"/>
                        </a:xfrm>
                        <a:prstGeom prst="flowChartAlternateProcess">
                          <a:avLst/>
                        </a:prstGeom>
                        <a:no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B5E65F0" w14:textId="77777777" w:rsidR="000B7B7D" w:rsidRPr="001502CF" w:rsidRDefault="000B7B7D" w:rsidP="00885640">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6608" id="Flowchart: Alternate Process 33" o:spid="_x0000_s1037" type="#_x0000_t176" style="position:absolute;margin-left:-32.25pt;margin-top:19.1pt;width:102.3pt;height:20.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" filled="f" strokecolor="black [3213]" strokeweight="2pt">
                <v:textbox>
                  <w:txbxContent>
                    <w:p w14:paraId="4B5E65F0" w14:textId="77777777" w:rsidR="000B7B7D" w:rsidRPr="001502CF" w:rsidRDefault="000B7B7D" w:rsidP="00885640">
                      <w:pPr>
                        <w:jc w:val="center"/>
                        <w:rPr>
                          <w:rFonts w:ascii="Arial" w:hAnsi="Arial" w:cs="Arial"/>
                          <w:b/>
                          <w:color w:val="000000" w:themeColor="text1"/>
                          <w:sz w:val="18"/>
                          <w:szCs w:val="18"/>
                        </w:rPr>
                      </w:pPr>
                      <w:r>
                        <w:rPr>
                          <w:rFonts w:ascii="Arial" w:hAnsi="Arial" w:cs="Arial"/>
                          <w:b/>
                          <w:color w:val="000000" w:themeColor="text1"/>
                          <w:sz w:val="18"/>
                          <w:szCs w:val="18"/>
                        </w:rPr>
                        <w:t>Included</w:t>
                      </w:r>
                    </w:p>
                  </w:txbxContent>
                </v:textbox>
              </v:shape>
            </w:pict>
          </mc:Fallback>
        </mc:AlternateContent>
      </w:r>
      <w:r w:rsidRPr="001E3A0E">
        <w:rPr>
          <w:noProof/>
          <w:sz w:val="24"/>
        </w:rPr>
        <mc:AlternateContent>
          <mc:Choice Requires="wps">
            <w:drawing>
              <wp:anchor distT="0" distB="0" distL="114300" distR="114300" simplePos="0" relativeHeight="251677696" behindDoc="0" locked="0" layoutInCell="1" allowOverlap="1" wp14:anchorId="6DF3EF87" wp14:editId="42390554">
                <wp:simplePos x="0" y="0"/>
                <wp:positionH relativeFrom="column">
                  <wp:posOffset>1452718</wp:posOffset>
                </wp:positionH>
                <wp:positionV relativeFrom="paragraph">
                  <wp:posOffset>194679</wp:posOffset>
                </wp:positionV>
                <wp:extent cx="0" cy="297712"/>
                <wp:effectExtent l="63500" t="0" r="50800" b="33020"/>
                <wp:wrapNone/>
                <wp:docPr id="29" name="Straight Arrow Connector 29"/>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B6ED04" id="Straight Arrow Connector 29" o:spid="_x0000_s1026" type="#_x0000_t32" style="position:absolute;margin-left:114.4pt;margin-top:15.35pt;width:0;height:23.4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" strokecolor="black [3040]">
                <v:stroke endarrow="block"/>
              </v:shape>
            </w:pict>
          </mc:Fallback>
        </mc:AlternateContent>
      </w:r>
      <w:r w:rsidRPr="001E3A0E">
        <w:rPr>
          <w:noProof/>
          <w:sz w:val="24"/>
        </w:rPr>
        <mc:AlternateContent>
          <mc:Choice Requires="wps">
            <w:drawing>
              <wp:anchor distT="0" distB="0" distL="114300" distR="114300" simplePos="0" relativeHeight="251676672" behindDoc="0" locked="0" layoutInCell="1" allowOverlap="1" wp14:anchorId="208E47F3" wp14:editId="0D6B065A">
                <wp:simplePos x="0" y="0"/>
                <wp:positionH relativeFrom="column">
                  <wp:posOffset>3957955</wp:posOffset>
                </wp:positionH>
                <wp:positionV relativeFrom="paragraph">
                  <wp:posOffset>195742</wp:posOffset>
                </wp:positionV>
                <wp:extent cx="0" cy="297815"/>
                <wp:effectExtent l="63500" t="0" r="50800" b="32385"/>
                <wp:wrapNone/>
                <wp:docPr id="6" name="Straight Arrow Connector 6"/>
                <wp:cNvGraphicFramePr/>
                <a:graphic xmlns:a="http://schemas.openxmlformats.org/drawingml/2006/main">
                  <a:graphicData uri="http://schemas.microsoft.com/office/word/2010/wordprocessingShape">
                    <wps:wsp>
                      <wps:cNvCnPr/>
                      <wps:spPr>
                        <a:xfrm>
                          <a:off x="0" y="0"/>
                          <a:ext cx="0" cy="297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F4F57E" id="Straight Arrow Connector 6" o:spid="_x0000_s1026" type="#_x0000_t32" style="position:absolute;margin-left:311.65pt;margin-top:15.4pt;width:0;height:23.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" strokecolor="black [3213]">
                <v:stroke endarrow="block"/>
              </v:shape>
            </w:pict>
          </mc:Fallback>
        </mc:AlternateContent>
      </w:r>
    </w:p>
    <w:p w14:paraId="390A6C7C" w14:textId="77777777" w:rsidR="00885640" w:rsidRPr="001E3A0E" w:rsidRDefault="00885640" w:rsidP="00885640">
      <w:pPr>
        <w:spacing w:line="360" w:lineRule="auto"/>
        <w:rPr>
          <w:sz w:val="24"/>
        </w:rPr>
      </w:pPr>
      <w:r w:rsidRPr="001E3A0E">
        <w:rPr>
          <w:noProof/>
          <w:sz w:val="24"/>
        </w:rPr>
        <mc:AlternateContent>
          <mc:Choice Requires="wps">
            <w:drawing>
              <wp:anchor distT="0" distB="0" distL="114300" distR="114300" simplePos="0" relativeHeight="251674624" behindDoc="0" locked="0" layoutInCell="1" allowOverlap="1" wp14:anchorId="5DDF72B3" wp14:editId="60402C38">
                <wp:simplePos x="0" y="0"/>
                <wp:positionH relativeFrom="column">
                  <wp:posOffset>1158875</wp:posOffset>
                </wp:positionH>
                <wp:positionV relativeFrom="paragraph">
                  <wp:posOffset>254000</wp:posOffset>
                </wp:positionV>
                <wp:extent cx="3171190" cy="563245"/>
                <wp:effectExtent l="0" t="0" r="10160" b="27305"/>
                <wp:wrapNone/>
                <wp:docPr id="42" name="Rectangle 42"/>
                <wp:cNvGraphicFramePr/>
                <a:graphic xmlns:a="http://schemas.openxmlformats.org/drawingml/2006/main">
                  <a:graphicData uri="http://schemas.microsoft.com/office/word/2010/wordprocessingShape">
                    <wps:wsp>
                      <wps:cNvSpPr/>
                      <wps:spPr>
                        <a:xfrm>
                          <a:off x="0" y="0"/>
                          <a:ext cx="3171190" cy="563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7D1B0" w14:textId="77777777" w:rsidR="000B7B7D"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Final number of included studies for analysis (n = 3) and</w:t>
                            </w:r>
                          </w:p>
                          <w:p w14:paraId="6B4452FB"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 xml:space="preserve">for narrative review (n = </w:t>
                            </w:r>
                            <w:r w:rsidRPr="00EC0AA8">
                              <w:rPr>
                                <w:rFonts w:ascii="Arial" w:hAnsi="Arial" w:cs="Arial"/>
                                <w:color w:val="000000" w:themeColor="text1"/>
                                <w:sz w:val="18"/>
                                <w:szCs w:val="20"/>
                              </w:rPr>
                              <w:t>58</w:t>
                            </w:r>
                            <w:r>
                              <w:rPr>
                                <w:rFonts w:ascii="Arial" w:hAnsi="Arial" w:cs="Arial"/>
                                <w:color w:val="000000" w:themeColor="text1"/>
                                <w:sz w:val="18"/>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F72B3" id="Rectangle 42" o:spid="_x0000_s1038" style="position:absolute;margin-left:91.25pt;margin-top:20pt;width:249.7pt;height:4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" filled="f" strokecolor="black [3213]" strokeweight="2pt">
                <v:textbox>
                  <w:txbxContent>
                    <w:p w14:paraId="7147D1B0" w14:textId="77777777" w:rsidR="000B7B7D"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Final number of included studies for analysis (n = 3) and</w:t>
                      </w:r>
                    </w:p>
                    <w:p w14:paraId="6B4452FB" w14:textId="77777777" w:rsidR="000B7B7D" w:rsidRPr="00560609" w:rsidRDefault="000B7B7D" w:rsidP="00885640">
                      <w:pPr>
                        <w:jc w:val="center"/>
                        <w:rPr>
                          <w:rFonts w:ascii="Arial" w:hAnsi="Arial" w:cs="Arial"/>
                          <w:color w:val="000000" w:themeColor="text1"/>
                          <w:sz w:val="18"/>
                          <w:szCs w:val="20"/>
                        </w:rPr>
                      </w:pPr>
                      <w:r>
                        <w:rPr>
                          <w:rFonts w:ascii="Arial" w:hAnsi="Arial" w:cs="Arial"/>
                          <w:color w:val="000000" w:themeColor="text1"/>
                          <w:sz w:val="18"/>
                          <w:szCs w:val="20"/>
                        </w:rPr>
                        <w:t xml:space="preserve">for narrative review (n = </w:t>
                      </w:r>
                      <w:r w:rsidRPr="00EC0AA8">
                        <w:rPr>
                          <w:rFonts w:ascii="Arial" w:hAnsi="Arial" w:cs="Arial"/>
                          <w:color w:val="000000" w:themeColor="text1"/>
                          <w:sz w:val="18"/>
                          <w:szCs w:val="20"/>
                        </w:rPr>
                        <w:t>58</w:t>
                      </w:r>
                      <w:r>
                        <w:rPr>
                          <w:rFonts w:ascii="Arial" w:hAnsi="Arial" w:cs="Arial"/>
                          <w:color w:val="000000" w:themeColor="text1"/>
                          <w:sz w:val="18"/>
                          <w:szCs w:val="20"/>
                        </w:rPr>
                        <w:t>)</w:t>
                      </w:r>
                    </w:p>
                  </w:txbxContent>
                </v:textbox>
              </v:rect>
            </w:pict>
          </mc:Fallback>
        </mc:AlternateContent>
      </w:r>
    </w:p>
    <w:p w14:paraId="5FF0B453" w14:textId="77777777" w:rsidR="00885640" w:rsidRPr="001E3A0E" w:rsidRDefault="00885640" w:rsidP="00885640">
      <w:pPr>
        <w:spacing w:line="360" w:lineRule="auto"/>
        <w:rPr>
          <w:sz w:val="24"/>
        </w:rPr>
      </w:pPr>
    </w:p>
    <w:p w14:paraId="3042C7D8" w14:textId="77777777" w:rsidR="00885640" w:rsidRPr="001E3A0E" w:rsidRDefault="00885640" w:rsidP="00885640">
      <w:pPr>
        <w:spacing w:line="360" w:lineRule="auto"/>
        <w:rPr>
          <w:sz w:val="24"/>
        </w:rPr>
      </w:pPr>
    </w:p>
    <w:p w14:paraId="0CF96E55" w14:textId="77777777" w:rsidR="00885640" w:rsidRPr="001E3A0E" w:rsidRDefault="00885640" w:rsidP="00885640">
      <w:pPr>
        <w:spacing w:line="360" w:lineRule="auto"/>
        <w:rPr>
          <w:sz w:val="24"/>
        </w:rPr>
      </w:pPr>
    </w:p>
    <w:p w14:paraId="580A6395" w14:textId="77777777" w:rsidR="00885640" w:rsidRPr="001E3A0E" w:rsidRDefault="00885640" w:rsidP="00885640">
      <w:pPr>
        <w:spacing w:line="360" w:lineRule="auto"/>
        <w:rPr>
          <w:sz w:val="24"/>
        </w:rPr>
        <w:sectPr w:rsidR="00885640" w:rsidRPr="001E3A0E" w:rsidSect="00885640">
          <w:footerReference w:type="even" r:id="rId15"/>
          <w:footerReference w:type="default" r:id="rId16"/>
          <w:pgSz w:w="11900" w:h="16840"/>
          <w:pgMar w:top="1440" w:right="1440" w:bottom="1440" w:left="1440" w:header="708" w:footer="708" w:gutter="0"/>
          <w:cols w:space="708"/>
          <w:docGrid w:linePitch="360"/>
        </w:sectPr>
      </w:pPr>
    </w:p>
    <w:p w14:paraId="219B2785" w14:textId="77777777" w:rsidR="00885640" w:rsidRPr="001E3A0E" w:rsidRDefault="00885640" w:rsidP="00885640">
      <w:pPr>
        <w:spacing w:line="360" w:lineRule="auto"/>
        <w:rPr>
          <w:sz w:val="24"/>
        </w:rPr>
      </w:pPr>
    </w:p>
    <w:p w14:paraId="5847CB5E" w14:textId="2EED9B40" w:rsidR="00885640" w:rsidRPr="001E3A0E" w:rsidRDefault="00885640" w:rsidP="00885640">
      <w:pPr>
        <w:pStyle w:val="Caption"/>
        <w:rPr>
          <w:rFonts w:ascii="Times New Roman" w:hAnsi="Times New Roman" w:cs="Times New Roman"/>
          <w:i/>
          <w:iCs/>
          <w:sz w:val="24"/>
          <w:szCs w:val="24"/>
        </w:rPr>
      </w:pPr>
      <w:bookmarkStart w:id="1" w:name="_Ref82599593"/>
      <w:bookmarkStart w:id="2" w:name="_Ref82599588"/>
      <w:r w:rsidRPr="001E3A0E">
        <w:rPr>
          <w:rFonts w:ascii="Times New Roman" w:hAnsi="Times New Roman" w:cs="Times New Roman"/>
          <w:sz w:val="24"/>
          <w:szCs w:val="24"/>
        </w:rPr>
        <w:t xml:space="preserve">Table </w:t>
      </w:r>
      <w:r w:rsidRPr="001E3A0E">
        <w:rPr>
          <w:rFonts w:ascii="Times New Roman" w:hAnsi="Times New Roman" w:cs="Times New Roman"/>
          <w:i/>
          <w:iCs/>
          <w:sz w:val="24"/>
          <w:szCs w:val="24"/>
        </w:rPr>
        <w:fldChar w:fldCharType="begin"/>
      </w:r>
      <w:r w:rsidRPr="001E3A0E">
        <w:rPr>
          <w:rFonts w:ascii="Times New Roman" w:hAnsi="Times New Roman" w:cs="Times New Roman"/>
          <w:sz w:val="24"/>
          <w:szCs w:val="24"/>
        </w:rPr>
        <w:instrText xml:space="preserve"> SEQ Table \* ARABIC </w:instrText>
      </w:r>
      <w:r w:rsidRPr="001E3A0E">
        <w:rPr>
          <w:rFonts w:ascii="Times New Roman" w:hAnsi="Times New Roman" w:cs="Times New Roman"/>
          <w:i/>
          <w:iCs/>
          <w:sz w:val="24"/>
          <w:szCs w:val="24"/>
        </w:rPr>
        <w:fldChar w:fldCharType="separate"/>
      </w:r>
      <w:r w:rsidRPr="001E3A0E">
        <w:rPr>
          <w:rFonts w:ascii="Times New Roman" w:hAnsi="Times New Roman" w:cs="Times New Roman"/>
          <w:noProof/>
          <w:sz w:val="24"/>
          <w:szCs w:val="24"/>
        </w:rPr>
        <w:t>1</w:t>
      </w:r>
      <w:r w:rsidRPr="001E3A0E">
        <w:rPr>
          <w:rFonts w:ascii="Times New Roman" w:hAnsi="Times New Roman" w:cs="Times New Roman"/>
          <w:i/>
          <w:iCs/>
          <w:sz w:val="24"/>
          <w:szCs w:val="24"/>
        </w:rPr>
        <w:fldChar w:fldCharType="end"/>
      </w:r>
      <w:bookmarkEnd w:id="1"/>
      <w:r w:rsidR="001E3A0E" w:rsidRPr="001E3A0E">
        <w:rPr>
          <w:rFonts w:ascii="Times New Roman" w:hAnsi="Times New Roman" w:cs="Times New Roman"/>
          <w:iCs/>
          <w:sz w:val="24"/>
          <w:szCs w:val="24"/>
        </w:rPr>
        <w:t>a</w:t>
      </w:r>
      <w:r w:rsidRPr="001E3A0E">
        <w:rPr>
          <w:rFonts w:ascii="Times New Roman" w:hAnsi="Times New Roman" w:cs="Times New Roman"/>
          <w:sz w:val="24"/>
          <w:szCs w:val="24"/>
        </w:rPr>
        <w:t xml:space="preserve"> Characteristics of</w:t>
      </w:r>
      <w:bookmarkEnd w:id="2"/>
      <w:r w:rsidRPr="001E3A0E">
        <w:rPr>
          <w:rFonts w:ascii="Times New Roman" w:hAnsi="Times New Roman" w:cs="Times New Roman"/>
          <w:sz w:val="24"/>
          <w:szCs w:val="24"/>
        </w:rPr>
        <w:t xml:space="preserve"> studies included f</w:t>
      </w:r>
      <w:r w:rsidR="001E3A0E" w:rsidRPr="001E3A0E">
        <w:rPr>
          <w:rFonts w:ascii="Times New Roman" w:hAnsi="Times New Roman" w:cs="Times New Roman"/>
          <w:sz w:val="24"/>
          <w:szCs w:val="24"/>
        </w:rPr>
        <w:t xml:space="preserve">or </w:t>
      </w:r>
      <w:r w:rsidRPr="001E3A0E">
        <w:rPr>
          <w:rFonts w:ascii="Times New Roman" w:hAnsi="Times New Roman" w:cs="Times New Roman"/>
          <w:sz w:val="24"/>
          <w:szCs w:val="24"/>
        </w:rPr>
        <w:t>cross-cohort comparison</w:t>
      </w:r>
    </w:p>
    <w:tbl>
      <w:tblPr>
        <w:tblW w:w="14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553"/>
        <w:gridCol w:w="2114"/>
        <w:gridCol w:w="1227"/>
        <w:gridCol w:w="1701"/>
        <w:gridCol w:w="1276"/>
        <w:gridCol w:w="1559"/>
        <w:gridCol w:w="993"/>
        <w:gridCol w:w="1275"/>
        <w:gridCol w:w="2405"/>
      </w:tblGrid>
      <w:tr w:rsidR="00885640" w:rsidRPr="001E3A0E" w14:paraId="29D583B4" w14:textId="77777777" w:rsidTr="000B7B7D">
        <w:trPr>
          <w:trHeight w:val="1020"/>
          <w:tblHeader/>
        </w:trPr>
        <w:tc>
          <w:tcPr>
            <w:tcW w:w="771" w:type="dxa"/>
          </w:tcPr>
          <w:p w14:paraId="5551BBE0" w14:textId="77777777" w:rsidR="00885640" w:rsidRPr="001E3A0E" w:rsidRDefault="00885640" w:rsidP="00885640">
            <w:pPr>
              <w:spacing w:line="360" w:lineRule="auto"/>
              <w:rPr>
                <w:b/>
                <w:bCs/>
              </w:rPr>
            </w:pPr>
            <w:r w:rsidRPr="001E3A0E">
              <w:rPr>
                <w:b/>
                <w:bCs/>
              </w:rPr>
              <w:t>Study ID</w:t>
            </w:r>
          </w:p>
        </w:tc>
        <w:tc>
          <w:tcPr>
            <w:tcW w:w="1553" w:type="dxa"/>
            <w:shd w:val="clear" w:color="auto" w:fill="auto"/>
            <w:vAlign w:val="center"/>
            <w:hideMark/>
          </w:tcPr>
          <w:p w14:paraId="3BA15B57" w14:textId="106A0C62" w:rsidR="00885640" w:rsidRPr="001E3A0E" w:rsidRDefault="00885640" w:rsidP="00885640">
            <w:pPr>
              <w:spacing w:line="360" w:lineRule="auto"/>
              <w:rPr>
                <w:b/>
                <w:bCs/>
              </w:rPr>
            </w:pPr>
            <w:r w:rsidRPr="001E3A0E">
              <w:rPr>
                <w:b/>
                <w:bCs/>
              </w:rPr>
              <w:t xml:space="preserve">Study </w:t>
            </w:r>
          </w:p>
          <w:p w14:paraId="3839DFB7" w14:textId="77777777" w:rsidR="00885640" w:rsidRPr="001E3A0E" w:rsidRDefault="00885640" w:rsidP="00885640">
            <w:pPr>
              <w:spacing w:line="360" w:lineRule="auto"/>
              <w:rPr>
                <w:b/>
                <w:bCs/>
              </w:rPr>
            </w:pPr>
            <w:r w:rsidRPr="001E3A0E">
              <w:rPr>
                <w:b/>
                <w:bCs/>
              </w:rPr>
              <w:t>First Author, year</w:t>
            </w:r>
          </w:p>
        </w:tc>
        <w:tc>
          <w:tcPr>
            <w:tcW w:w="2114" w:type="dxa"/>
            <w:shd w:val="clear" w:color="auto" w:fill="auto"/>
            <w:vAlign w:val="center"/>
            <w:hideMark/>
          </w:tcPr>
          <w:p w14:paraId="1F48316B" w14:textId="77777777" w:rsidR="00885640" w:rsidRPr="001E3A0E" w:rsidRDefault="00885640" w:rsidP="00885640">
            <w:pPr>
              <w:spacing w:line="360" w:lineRule="auto"/>
              <w:rPr>
                <w:b/>
                <w:bCs/>
              </w:rPr>
            </w:pPr>
            <w:r w:rsidRPr="001E3A0E">
              <w:rPr>
                <w:b/>
                <w:bCs/>
              </w:rPr>
              <w:t>Setting: cohort name (if reported)</w:t>
            </w:r>
          </w:p>
        </w:tc>
        <w:tc>
          <w:tcPr>
            <w:tcW w:w="1227" w:type="dxa"/>
            <w:shd w:val="clear" w:color="auto" w:fill="auto"/>
            <w:vAlign w:val="center"/>
            <w:hideMark/>
          </w:tcPr>
          <w:p w14:paraId="2F9CA9B8" w14:textId="77777777" w:rsidR="00885640" w:rsidRPr="001E3A0E" w:rsidRDefault="00885640" w:rsidP="00885640">
            <w:pPr>
              <w:spacing w:line="360" w:lineRule="auto"/>
              <w:rPr>
                <w:b/>
                <w:bCs/>
              </w:rPr>
            </w:pPr>
            <w:r w:rsidRPr="001E3A0E">
              <w:rPr>
                <w:b/>
                <w:bCs/>
              </w:rPr>
              <w:t>Number of participants</w:t>
            </w:r>
          </w:p>
        </w:tc>
        <w:tc>
          <w:tcPr>
            <w:tcW w:w="1701" w:type="dxa"/>
            <w:shd w:val="clear" w:color="auto" w:fill="auto"/>
            <w:vAlign w:val="center"/>
            <w:hideMark/>
          </w:tcPr>
          <w:p w14:paraId="2827B523" w14:textId="77777777" w:rsidR="00885640" w:rsidRPr="001E3A0E" w:rsidRDefault="00885640" w:rsidP="00885640">
            <w:pPr>
              <w:spacing w:line="360" w:lineRule="auto"/>
              <w:rPr>
                <w:b/>
                <w:bCs/>
              </w:rPr>
            </w:pPr>
            <w:r w:rsidRPr="001E3A0E">
              <w:rPr>
                <w:b/>
                <w:bCs/>
              </w:rPr>
              <w:t>Mean age at baseline (range)</w:t>
            </w:r>
          </w:p>
        </w:tc>
        <w:tc>
          <w:tcPr>
            <w:tcW w:w="1276" w:type="dxa"/>
            <w:shd w:val="clear" w:color="auto" w:fill="auto"/>
            <w:vAlign w:val="center"/>
            <w:hideMark/>
          </w:tcPr>
          <w:p w14:paraId="165CC986" w14:textId="77777777" w:rsidR="00885640" w:rsidRPr="001E3A0E" w:rsidRDefault="00885640" w:rsidP="00885640">
            <w:pPr>
              <w:spacing w:line="360" w:lineRule="auto"/>
              <w:rPr>
                <w:b/>
                <w:bCs/>
              </w:rPr>
            </w:pPr>
            <w:r w:rsidRPr="001E3A0E">
              <w:rPr>
                <w:b/>
                <w:bCs/>
              </w:rPr>
              <w:t>Women (%)</w:t>
            </w:r>
          </w:p>
        </w:tc>
        <w:tc>
          <w:tcPr>
            <w:tcW w:w="1559" w:type="dxa"/>
            <w:shd w:val="clear" w:color="auto" w:fill="auto"/>
            <w:vAlign w:val="center"/>
            <w:hideMark/>
          </w:tcPr>
          <w:p w14:paraId="00ABC9F0" w14:textId="77777777" w:rsidR="00885640" w:rsidRPr="001E3A0E" w:rsidRDefault="00885640" w:rsidP="00885640">
            <w:pPr>
              <w:spacing w:line="360" w:lineRule="auto"/>
              <w:rPr>
                <w:b/>
                <w:bCs/>
              </w:rPr>
            </w:pPr>
            <w:r w:rsidRPr="001E3A0E">
              <w:rPr>
                <w:b/>
                <w:bCs/>
              </w:rPr>
              <w:t>Baseline period, year(s)</w:t>
            </w:r>
          </w:p>
        </w:tc>
        <w:tc>
          <w:tcPr>
            <w:tcW w:w="993" w:type="dxa"/>
            <w:shd w:val="clear" w:color="auto" w:fill="auto"/>
            <w:vAlign w:val="center"/>
            <w:hideMark/>
          </w:tcPr>
          <w:p w14:paraId="596EAEC3" w14:textId="77777777" w:rsidR="00885640" w:rsidRPr="001E3A0E" w:rsidRDefault="00885640" w:rsidP="00885640">
            <w:pPr>
              <w:spacing w:line="360" w:lineRule="auto"/>
              <w:rPr>
                <w:b/>
                <w:bCs/>
              </w:rPr>
            </w:pPr>
            <w:r w:rsidRPr="001E3A0E">
              <w:rPr>
                <w:b/>
                <w:bCs/>
              </w:rPr>
              <w:t>Follow-up period</w:t>
            </w:r>
          </w:p>
        </w:tc>
        <w:tc>
          <w:tcPr>
            <w:tcW w:w="1275" w:type="dxa"/>
            <w:shd w:val="clear" w:color="auto" w:fill="auto"/>
            <w:vAlign w:val="center"/>
            <w:hideMark/>
          </w:tcPr>
          <w:p w14:paraId="06335FFD" w14:textId="77777777" w:rsidR="00885640" w:rsidRPr="001E3A0E" w:rsidRDefault="00885640" w:rsidP="00885640">
            <w:pPr>
              <w:spacing w:line="360" w:lineRule="auto"/>
              <w:rPr>
                <w:b/>
                <w:bCs/>
              </w:rPr>
            </w:pPr>
            <w:r w:rsidRPr="001E3A0E">
              <w:rPr>
                <w:b/>
                <w:bCs/>
              </w:rPr>
              <w:t>Number of deficits</w:t>
            </w:r>
          </w:p>
        </w:tc>
        <w:tc>
          <w:tcPr>
            <w:tcW w:w="2405" w:type="dxa"/>
            <w:shd w:val="clear" w:color="auto" w:fill="auto"/>
            <w:vAlign w:val="center"/>
            <w:hideMark/>
          </w:tcPr>
          <w:p w14:paraId="7BF61020" w14:textId="77777777" w:rsidR="00885640" w:rsidRPr="001E3A0E" w:rsidRDefault="00885640" w:rsidP="00885640">
            <w:pPr>
              <w:spacing w:line="360" w:lineRule="auto"/>
              <w:rPr>
                <w:b/>
                <w:bCs/>
              </w:rPr>
            </w:pPr>
            <w:r w:rsidRPr="001E3A0E">
              <w:rPr>
                <w:b/>
                <w:bCs/>
              </w:rPr>
              <w:t>Frailty cut- points</w:t>
            </w:r>
          </w:p>
        </w:tc>
      </w:tr>
      <w:tr w:rsidR="00885640" w:rsidRPr="001E3A0E" w14:paraId="361B45B5" w14:textId="77777777" w:rsidTr="00885640">
        <w:trPr>
          <w:trHeight w:val="1020"/>
        </w:trPr>
        <w:tc>
          <w:tcPr>
            <w:tcW w:w="771" w:type="dxa"/>
          </w:tcPr>
          <w:p w14:paraId="7F2A4F67" w14:textId="77777777" w:rsidR="00885640" w:rsidRPr="001E3A0E" w:rsidRDefault="00885640" w:rsidP="00885640">
            <w:pPr>
              <w:spacing w:line="360" w:lineRule="auto"/>
            </w:pPr>
            <w:r w:rsidRPr="001E3A0E">
              <w:t>1</w:t>
            </w:r>
          </w:p>
        </w:tc>
        <w:tc>
          <w:tcPr>
            <w:tcW w:w="1553" w:type="dxa"/>
            <w:shd w:val="clear" w:color="auto" w:fill="auto"/>
            <w:hideMark/>
          </w:tcPr>
          <w:p w14:paraId="15351968" w14:textId="77777777" w:rsidR="00885640" w:rsidRPr="001E3A0E" w:rsidRDefault="00885640" w:rsidP="00885640">
            <w:pPr>
              <w:spacing w:line="360" w:lineRule="auto"/>
            </w:pPr>
            <w:r w:rsidRPr="001E3A0E">
              <w:t>Thompson et al</w:t>
            </w:r>
            <w:r w:rsidRPr="001E3A0E">
              <w:rPr>
                <w:shd w:val="clear" w:color="auto" w:fill="FFFFFF"/>
              </w:rPr>
              <w:t>.,</w:t>
            </w:r>
            <w:r w:rsidRPr="001E3A0E">
              <w:t xml:space="preserve"> 2018</w:t>
            </w:r>
          </w:p>
        </w:tc>
        <w:tc>
          <w:tcPr>
            <w:tcW w:w="2114" w:type="dxa"/>
            <w:shd w:val="clear" w:color="auto" w:fill="auto"/>
            <w:hideMark/>
          </w:tcPr>
          <w:p w14:paraId="311C6F58" w14:textId="77777777" w:rsidR="00885640" w:rsidRPr="001E3A0E" w:rsidRDefault="00885640" w:rsidP="00885640">
            <w:pPr>
              <w:spacing w:line="360" w:lineRule="auto"/>
            </w:pPr>
            <w:r w:rsidRPr="001E3A0E">
              <w:t xml:space="preserve">The </w:t>
            </w:r>
            <w:proofErr w:type="gramStart"/>
            <w:r w:rsidRPr="001E3A0E">
              <w:t>North West</w:t>
            </w:r>
            <w:proofErr w:type="gramEnd"/>
            <w:r w:rsidRPr="001E3A0E">
              <w:t xml:space="preserve"> Adelaide Health Study, South Australia</w:t>
            </w:r>
          </w:p>
        </w:tc>
        <w:tc>
          <w:tcPr>
            <w:tcW w:w="1227" w:type="dxa"/>
            <w:shd w:val="clear" w:color="auto" w:fill="auto"/>
            <w:hideMark/>
          </w:tcPr>
          <w:p w14:paraId="2AE83E2A" w14:textId="77777777" w:rsidR="00885640" w:rsidRPr="001E3A0E" w:rsidRDefault="00885640" w:rsidP="00885640">
            <w:pPr>
              <w:spacing w:line="360" w:lineRule="auto"/>
            </w:pPr>
            <w:r w:rsidRPr="001E3A0E">
              <w:t>696</w:t>
            </w:r>
          </w:p>
        </w:tc>
        <w:tc>
          <w:tcPr>
            <w:tcW w:w="1701" w:type="dxa"/>
            <w:shd w:val="clear" w:color="auto" w:fill="auto"/>
            <w:hideMark/>
          </w:tcPr>
          <w:p w14:paraId="2AA597C4" w14:textId="77777777" w:rsidR="00885640" w:rsidRPr="001E3A0E" w:rsidRDefault="00885640" w:rsidP="00885640">
            <w:pPr>
              <w:spacing w:line="360" w:lineRule="auto"/>
            </w:pPr>
            <w:r w:rsidRPr="001E3A0E">
              <w:t>73.4 (&gt;=65)</w:t>
            </w:r>
          </w:p>
        </w:tc>
        <w:tc>
          <w:tcPr>
            <w:tcW w:w="1276" w:type="dxa"/>
            <w:shd w:val="clear" w:color="auto" w:fill="auto"/>
            <w:hideMark/>
          </w:tcPr>
          <w:p w14:paraId="2DBC111F" w14:textId="77777777" w:rsidR="00885640" w:rsidRPr="001E3A0E" w:rsidRDefault="00885640" w:rsidP="00885640">
            <w:pPr>
              <w:spacing w:line="360" w:lineRule="auto"/>
            </w:pPr>
            <w:r w:rsidRPr="001E3A0E">
              <w:t>53.1%</w:t>
            </w:r>
          </w:p>
        </w:tc>
        <w:tc>
          <w:tcPr>
            <w:tcW w:w="1559" w:type="dxa"/>
            <w:shd w:val="clear" w:color="auto" w:fill="auto"/>
            <w:hideMark/>
          </w:tcPr>
          <w:p w14:paraId="22E9A0B7" w14:textId="77777777" w:rsidR="00885640" w:rsidRPr="001E3A0E" w:rsidRDefault="00885640" w:rsidP="00885640">
            <w:pPr>
              <w:spacing w:line="360" w:lineRule="auto"/>
            </w:pPr>
            <w:r w:rsidRPr="001E3A0E">
              <w:t>2004-2006</w:t>
            </w:r>
          </w:p>
        </w:tc>
        <w:tc>
          <w:tcPr>
            <w:tcW w:w="993" w:type="dxa"/>
            <w:shd w:val="clear" w:color="auto" w:fill="auto"/>
            <w:hideMark/>
          </w:tcPr>
          <w:p w14:paraId="77C746C6" w14:textId="77777777" w:rsidR="00885640" w:rsidRPr="001E3A0E" w:rsidRDefault="00885640" w:rsidP="00885640">
            <w:pPr>
              <w:spacing w:line="360" w:lineRule="auto"/>
            </w:pPr>
            <w:r w:rsidRPr="001E3A0E">
              <w:t>4.5 years</w:t>
            </w:r>
          </w:p>
        </w:tc>
        <w:tc>
          <w:tcPr>
            <w:tcW w:w="1275" w:type="dxa"/>
            <w:shd w:val="clear" w:color="auto" w:fill="auto"/>
            <w:hideMark/>
          </w:tcPr>
          <w:p w14:paraId="32F2FFE9" w14:textId="77777777" w:rsidR="00885640" w:rsidRPr="001E3A0E" w:rsidRDefault="00885640" w:rsidP="00885640">
            <w:pPr>
              <w:spacing w:line="360" w:lineRule="auto"/>
            </w:pPr>
            <w:r w:rsidRPr="001E3A0E">
              <w:t>34</w:t>
            </w:r>
          </w:p>
        </w:tc>
        <w:tc>
          <w:tcPr>
            <w:tcW w:w="2405" w:type="dxa"/>
            <w:shd w:val="clear" w:color="auto" w:fill="auto"/>
            <w:hideMark/>
          </w:tcPr>
          <w:p w14:paraId="2F50495D" w14:textId="77777777" w:rsidR="00885640" w:rsidRPr="001E3A0E" w:rsidRDefault="00885640" w:rsidP="00885640">
            <w:pPr>
              <w:spacing w:line="360" w:lineRule="auto"/>
            </w:pPr>
            <w:r w:rsidRPr="001E3A0E">
              <w:t xml:space="preserve">Non-frail (FI&lt;=0.10); </w:t>
            </w:r>
            <w:r w:rsidRPr="001E3A0E">
              <w:br/>
              <w:t xml:space="preserve">Prefrail (0.10&lt;FI&lt;=0.21); </w:t>
            </w:r>
            <w:r w:rsidRPr="001E3A0E">
              <w:br/>
              <w:t>Frail (FI&gt;0.21)</w:t>
            </w:r>
          </w:p>
        </w:tc>
      </w:tr>
      <w:tr w:rsidR="00885640" w:rsidRPr="001E3A0E" w14:paraId="6E161B81" w14:textId="77777777" w:rsidTr="00885640">
        <w:trPr>
          <w:trHeight w:val="1020"/>
        </w:trPr>
        <w:tc>
          <w:tcPr>
            <w:tcW w:w="771" w:type="dxa"/>
          </w:tcPr>
          <w:p w14:paraId="4F4E1130" w14:textId="77777777" w:rsidR="00885640" w:rsidRPr="001E3A0E" w:rsidRDefault="00885640" w:rsidP="00885640">
            <w:pPr>
              <w:spacing w:line="360" w:lineRule="auto"/>
            </w:pPr>
            <w:r w:rsidRPr="001E3A0E">
              <w:t>2</w:t>
            </w:r>
          </w:p>
        </w:tc>
        <w:tc>
          <w:tcPr>
            <w:tcW w:w="1553" w:type="dxa"/>
            <w:shd w:val="clear" w:color="auto" w:fill="auto"/>
            <w:hideMark/>
          </w:tcPr>
          <w:p w14:paraId="00F62F84" w14:textId="77777777" w:rsidR="00885640" w:rsidRPr="001E3A0E" w:rsidRDefault="00885640" w:rsidP="00885640">
            <w:pPr>
              <w:spacing w:line="360" w:lineRule="auto"/>
            </w:pPr>
            <w:r w:rsidRPr="001E3A0E">
              <w:t>Ye et al., 2020</w:t>
            </w:r>
          </w:p>
        </w:tc>
        <w:tc>
          <w:tcPr>
            <w:tcW w:w="2114" w:type="dxa"/>
            <w:shd w:val="clear" w:color="auto" w:fill="auto"/>
            <w:hideMark/>
          </w:tcPr>
          <w:p w14:paraId="7F897C98" w14:textId="77777777" w:rsidR="00885640" w:rsidRPr="001E3A0E" w:rsidRDefault="00885640" w:rsidP="00885640">
            <w:pPr>
              <w:spacing w:line="360" w:lineRule="auto"/>
            </w:pPr>
            <w:r w:rsidRPr="001E3A0E">
              <w:t>China, Shanghai</w:t>
            </w:r>
          </w:p>
        </w:tc>
        <w:tc>
          <w:tcPr>
            <w:tcW w:w="1227" w:type="dxa"/>
            <w:shd w:val="clear" w:color="auto" w:fill="auto"/>
            <w:hideMark/>
          </w:tcPr>
          <w:p w14:paraId="587DC26A" w14:textId="77777777" w:rsidR="00885640" w:rsidRPr="001E3A0E" w:rsidRDefault="00885640" w:rsidP="00885640">
            <w:pPr>
              <w:spacing w:line="360" w:lineRule="auto"/>
            </w:pPr>
            <w:r w:rsidRPr="001E3A0E">
              <w:t>3988</w:t>
            </w:r>
          </w:p>
        </w:tc>
        <w:tc>
          <w:tcPr>
            <w:tcW w:w="1701" w:type="dxa"/>
            <w:shd w:val="clear" w:color="auto" w:fill="auto"/>
            <w:hideMark/>
          </w:tcPr>
          <w:p w14:paraId="6B9830CD" w14:textId="77777777" w:rsidR="00885640" w:rsidRPr="001E3A0E" w:rsidRDefault="00885640" w:rsidP="00885640">
            <w:pPr>
              <w:spacing w:line="360" w:lineRule="auto"/>
            </w:pPr>
            <w:r w:rsidRPr="001E3A0E">
              <w:t>69.38 (&gt;=60)</w:t>
            </w:r>
          </w:p>
        </w:tc>
        <w:tc>
          <w:tcPr>
            <w:tcW w:w="1276" w:type="dxa"/>
            <w:shd w:val="clear" w:color="auto" w:fill="auto"/>
            <w:hideMark/>
          </w:tcPr>
          <w:p w14:paraId="48950F93" w14:textId="77777777" w:rsidR="00885640" w:rsidRPr="001E3A0E" w:rsidRDefault="00885640" w:rsidP="00885640">
            <w:pPr>
              <w:spacing w:line="360" w:lineRule="auto"/>
            </w:pPr>
            <w:r w:rsidRPr="001E3A0E">
              <w:t>56.5%</w:t>
            </w:r>
          </w:p>
        </w:tc>
        <w:tc>
          <w:tcPr>
            <w:tcW w:w="1559" w:type="dxa"/>
            <w:shd w:val="clear" w:color="auto" w:fill="auto"/>
            <w:hideMark/>
          </w:tcPr>
          <w:p w14:paraId="198351D9" w14:textId="77777777" w:rsidR="00885640" w:rsidRPr="001E3A0E" w:rsidRDefault="00885640" w:rsidP="00885640">
            <w:pPr>
              <w:spacing w:line="360" w:lineRule="auto"/>
            </w:pPr>
            <w:r w:rsidRPr="001E3A0E">
              <w:t>2015</w:t>
            </w:r>
          </w:p>
        </w:tc>
        <w:tc>
          <w:tcPr>
            <w:tcW w:w="993" w:type="dxa"/>
            <w:shd w:val="clear" w:color="auto" w:fill="auto"/>
            <w:hideMark/>
          </w:tcPr>
          <w:p w14:paraId="5DE7A455" w14:textId="77777777" w:rsidR="00885640" w:rsidRPr="001E3A0E" w:rsidRDefault="00885640" w:rsidP="00885640">
            <w:pPr>
              <w:spacing w:line="360" w:lineRule="auto"/>
            </w:pPr>
            <w:r w:rsidRPr="001E3A0E">
              <w:t>2 years</w:t>
            </w:r>
          </w:p>
        </w:tc>
        <w:tc>
          <w:tcPr>
            <w:tcW w:w="1275" w:type="dxa"/>
            <w:shd w:val="clear" w:color="auto" w:fill="auto"/>
            <w:hideMark/>
          </w:tcPr>
          <w:p w14:paraId="1A983B0E" w14:textId="77777777" w:rsidR="00885640" w:rsidRPr="001E3A0E" w:rsidRDefault="00885640" w:rsidP="00885640">
            <w:pPr>
              <w:spacing w:line="360" w:lineRule="auto"/>
            </w:pPr>
            <w:r w:rsidRPr="001E3A0E">
              <w:t>36</w:t>
            </w:r>
          </w:p>
        </w:tc>
        <w:tc>
          <w:tcPr>
            <w:tcW w:w="2405" w:type="dxa"/>
            <w:shd w:val="clear" w:color="auto" w:fill="auto"/>
            <w:hideMark/>
          </w:tcPr>
          <w:p w14:paraId="5D1E4A52" w14:textId="77777777" w:rsidR="00885640" w:rsidRPr="001E3A0E" w:rsidRDefault="00885640" w:rsidP="00885640">
            <w:pPr>
              <w:spacing w:line="360" w:lineRule="auto"/>
            </w:pPr>
            <w:r w:rsidRPr="001E3A0E">
              <w:t xml:space="preserve">Non-frail (FI&lt;=0.10); </w:t>
            </w:r>
            <w:r w:rsidRPr="001E3A0E">
              <w:br/>
              <w:t xml:space="preserve">Prefrail (0.10&lt;FI&lt;=0.21); </w:t>
            </w:r>
            <w:r w:rsidRPr="001E3A0E">
              <w:br/>
              <w:t>Frail (FI&gt;0.21)</w:t>
            </w:r>
          </w:p>
        </w:tc>
      </w:tr>
      <w:tr w:rsidR="00885640" w:rsidRPr="001E3A0E" w14:paraId="63FFCA61" w14:textId="77777777" w:rsidTr="00885640">
        <w:trPr>
          <w:trHeight w:val="1020"/>
        </w:trPr>
        <w:tc>
          <w:tcPr>
            <w:tcW w:w="771" w:type="dxa"/>
          </w:tcPr>
          <w:p w14:paraId="612A1D65" w14:textId="77777777" w:rsidR="00885640" w:rsidRPr="001E3A0E" w:rsidRDefault="00885640" w:rsidP="00885640">
            <w:pPr>
              <w:spacing w:line="360" w:lineRule="auto"/>
            </w:pPr>
            <w:r w:rsidRPr="001E3A0E">
              <w:t>3</w:t>
            </w:r>
          </w:p>
        </w:tc>
        <w:tc>
          <w:tcPr>
            <w:tcW w:w="1553" w:type="dxa"/>
            <w:shd w:val="clear" w:color="auto" w:fill="auto"/>
            <w:hideMark/>
          </w:tcPr>
          <w:p w14:paraId="27B69D82" w14:textId="77777777" w:rsidR="00885640" w:rsidRPr="001E3A0E" w:rsidRDefault="00885640" w:rsidP="00885640">
            <w:pPr>
              <w:spacing w:line="360" w:lineRule="auto"/>
            </w:pPr>
            <w:r w:rsidRPr="001E3A0E">
              <w:t>Liu et al., 2018</w:t>
            </w:r>
          </w:p>
        </w:tc>
        <w:tc>
          <w:tcPr>
            <w:tcW w:w="2114" w:type="dxa"/>
            <w:shd w:val="clear" w:color="auto" w:fill="auto"/>
            <w:hideMark/>
          </w:tcPr>
          <w:p w14:paraId="23C55AB2" w14:textId="77777777" w:rsidR="00885640" w:rsidRPr="001E3A0E" w:rsidRDefault="00885640" w:rsidP="00885640">
            <w:pPr>
              <w:spacing w:line="360" w:lineRule="auto"/>
            </w:pPr>
            <w:r w:rsidRPr="001E3A0E">
              <w:t>Chinese Longitudinal Healthy Longevity Survey, China</w:t>
            </w:r>
          </w:p>
        </w:tc>
        <w:tc>
          <w:tcPr>
            <w:tcW w:w="1227" w:type="dxa"/>
            <w:shd w:val="clear" w:color="auto" w:fill="auto"/>
            <w:hideMark/>
          </w:tcPr>
          <w:p w14:paraId="653529AA" w14:textId="77777777" w:rsidR="00885640" w:rsidRPr="001E3A0E" w:rsidRDefault="00885640" w:rsidP="00885640">
            <w:pPr>
              <w:spacing w:line="360" w:lineRule="auto"/>
            </w:pPr>
            <w:r w:rsidRPr="001E3A0E">
              <w:t>11,165</w:t>
            </w:r>
          </w:p>
        </w:tc>
        <w:tc>
          <w:tcPr>
            <w:tcW w:w="1701" w:type="dxa"/>
            <w:shd w:val="clear" w:color="auto" w:fill="auto"/>
            <w:hideMark/>
          </w:tcPr>
          <w:p w14:paraId="438C5824" w14:textId="77777777" w:rsidR="00885640" w:rsidRPr="001E3A0E" w:rsidRDefault="00885640" w:rsidP="00885640">
            <w:pPr>
              <w:spacing w:line="360" w:lineRule="auto"/>
            </w:pPr>
            <w:r w:rsidRPr="001E3A0E">
              <w:t>82.6 (80; 100]</w:t>
            </w:r>
          </w:p>
        </w:tc>
        <w:tc>
          <w:tcPr>
            <w:tcW w:w="1276" w:type="dxa"/>
            <w:shd w:val="clear" w:color="auto" w:fill="auto"/>
            <w:hideMark/>
          </w:tcPr>
          <w:p w14:paraId="7A1E40CE" w14:textId="77777777" w:rsidR="00885640" w:rsidRPr="001E3A0E" w:rsidRDefault="00885640" w:rsidP="00885640">
            <w:pPr>
              <w:spacing w:line="360" w:lineRule="auto"/>
            </w:pPr>
            <w:r w:rsidRPr="001E3A0E">
              <w:t>52.0%</w:t>
            </w:r>
          </w:p>
        </w:tc>
        <w:tc>
          <w:tcPr>
            <w:tcW w:w="1559" w:type="dxa"/>
            <w:shd w:val="clear" w:color="auto" w:fill="auto"/>
            <w:hideMark/>
          </w:tcPr>
          <w:p w14:paraId="75A915F8" w14:textId="77777777" w:rsidR="00885640" w:rsidRPr="001E3A0E" w:rsidRDefault="00885640" w:rsidP="00885640">
            <w:pPr>
              <w:spacing w:line="360" w:lineRule="auto"/>
            </w:pPr>
            <w:r w:rsidRPr="001E3A0E">
              <w:t>2002</w:t>
            </w:r>
          </w:p>
        </w:tc>
        <w:tc>
          <w:tcPr>
            <w:tcW w:w="993" w:type="dxa"/>
            <w:shd w:val="clear" w:color="auto" w:fill="auto"/>
            <w:hideMark/>
          </w:tcPr>
          <w:p w14:paraId="72BCC41A" w14:textId="77777777" w:rsidR="00885640" w:rsidRPr="001E3A0E" w:rsidRDefault="00885640" w:rsidP="00885640">
            <w:pPr>
              <w:spacing w:line="360" w:lineRule="auto"/>
            </w:pPr>
            <w:r w:rsidRPr="001E3A0E">
              <w:t>3 years</w:t>
            </w:r>
          </w:p>
        </w:tc>
        <w:tc>
          <w:tcPr>
            <w:tcW w:w="1275" w:type="dxa"/>
            <w:shd w:val="clear" w:color="auto" w:fill="auto"/>
            <w:hideMark/>
          </w:tcPr>
          <w:p w14:paraId="4EBC00C5" w14:textId="77777777" w:rsidR="00885640" w:rsidRPr="001E3A0E" w:rsidRDefault="00885640" w:rsidP="00885640">
            <w:pPr>
              <w:spacing w:line="360" w:lineRule="auto"/>
            </w:pPr>
            <w:r w:rsidRPr="001E3A0E">
              <w:t>44</w:t>
            </w:r>
          </w:p>
        </w:tc>
        <w:tc>
          <w:tcPr>
            <w:tcW w:w="2405" w:type="dxa"/>
            <w:shd w:val="clear" w:color="auto" w:fill="auto"/>
            <w:hideMark/>
          </w:tcPr>
          <w:p w14:paraId="1D7671FD" w14:textId="77777777" w:rsidR="00885640" w:rsidRPr="001E3A0E" w:rsidRDefault="00885640" w:rsidP="00885640">
            <w:pPr>
              <w:spacing w:line="360" w:lineRule="auto"/>
            </w:pPr>
            <w:r w:rsidRPr="001E3A0E">
              <w:t xml:space="preserve">Non-frail (FI&lt;=0.10); </w:t>
            </w:r>
            <w:r w:rsidRPr="001E3A0E">
              <w:br/>
              <w:t xml:space="preserve">Prefrail (0.10&lt;FI&lt;=0.21); </w:t>
            </w:r>
            <w:r w:rsidRPr="001E3A0E">
              <w:br/>
              <w:t>Frail (FI&gt;0.21)</w:t>
            </w:r>
          </w:p>
        </w:tc>
      </w:tr>
    </w:tbl>
    <w:p w14:paraId="6703D26A" w14:textId="70E675C3" w:rsidR="00885640" w:rsidRPr="001E3A0E" w:rsidRDefault="00885640" w:rsidP="00C84C44">
      <w:pPr>
        <w:pStyle w:val="Heading1"/>
        <w:numPr>
          <w:ilvl w:val="0"/>
          <w:numId w:val="0"/>
        </w:numPr>
        <w:spacing w:line="360" w:lineRule="auto"/>
        <w:ind w:left="357" w:hanging="357"/>
        <w:rPr>
          <w:rFonts w:cs="Times New Roman"/>
          <w:sz w:val="24"/>
          <w:szCs w:val="24"/>
        </w:rPr>
      </w:pPr>
    </w:p>
    <w:p w14:paraId="5440BE3D" w14:textId="52CF0280" w:rsidR="00C84C44" w:rsidRPr="001E3A0E" w:rsidRDefault="00C84C44" w:rsidP="00C84C44">
      <w:pPr>
        <w:pStyle w:val="UniNormal"/>
        <w:rPr>
          <w:sz w:val="24"/>
        </w:rPr>
      </w:pPr>
    </w:p>
    <w:p w14:paraId="6A9FC842" w14:textId="0ED26B10" w:rsidR="00C84C44" w:rsidRPr="001E3A0E" w:rsidRDefault="00C84C44" w:rsidP="00C84C44">
      <w:pPr>
        <w:pStyle w:val="UniNormal"/>
        <w:rPr>
          <w:sz w:val="24"/>
        </w:rPr>
      </w:pPr>
    </w:p>
    <w:p w14:paraId="39620B8C" w14:textId="77777777" w:rsidR="00C84C44" w:rsidRPr="001E3A0E" w:rsidRDefault="00C84C44" w:rsidP="00C84C44">
      <w:pPr>
        <w:pStyle w:val="UniNormal"/>
        <w:rPr>
          <w:sz w:val="24"/>
        </w:rPr>
      </w:pPr>
    </w:p>
    <w:p w14:paraId="18AC0AEC" w14:textId="77777777" w:rsidR="00885640" w:rsidRPr="001E3A0E" w:rsidRDefault="00885640" w:rsidP="00885640">
      <w:pPr>
        <w:rPr>
          <w:sz w:val="24"/>
        </w:rPr>
      </w:pPr>
    </w:p>
    <w:p w14:paraId="1B2BAE1E" w14:textId="77777777" w:rsidR="00885640" w:rsidRPr="001E3A0E" w:rsidRDefault="00885640" w:rsidP="00885640">
      <w:pPr>
        <w:rPr>
          <w:sz w:val="24"/>
        </w:rPr>
      </w:pPr>
    </w:p>
    <w:p w14:paraId="75C37915" w14:textId="77777777" w:rsidR="00885640" w:rsidRPr="001E3A0E" w:rsidRDefault="00885640" w:rsidP="00885640">
      <w:pPr>
        <w:rPr>
          <w:sz w:val="24"/>
        </w:rPr>
      </w:pPr>
    </w:p>
    <w:p w14:paraId="6708FFB5" w14:textId="3D14271D" w:rsidR="00885640" w:rsidRPr="001E3A0E" w:rsidRDefault="00885640" w:rsidP="00885640">
      <w:pPr>
        <w:rPr>
          <w:sz w:val="24"/>
        </w:rPr>
      </w:pPr>
    </w:p>
    <w:p w14:paraId="492D6684" w14:textId="6C3C108A" w:rsidR="001E3A0E" w:rsidRPr="001E3A0E" w:rsidRDefault="001E3A0E" w:rsidP="00885640">
      <w:pPr>
        <w:rPr>
          <w:sz w:val="24"/>
        </w:rPr>
      </w:pPr>
    </w:p>
    <w:p w14:paraId="57537964" w14:textId="77777777" w:rsidR="001E3A0E" w:rsidRPr="001E3A0E" w:rsidRDefault="001E3A0E" w:rsidP="00885640">
      <w:pPr>
        <w:rPr>
          <w:sz w:val="24"/>
        </w:rPr>
      </w:pPr>
    </w:p>
    <w:p w14:paraId="5F469DF1" w14:textId="77777777" w:rsidR="00885640" w:rsidRPr="001E3A0E" w:rsidRDefault="00885640" w:rsidP="00885640">
      <w:pPr>
        <w:rPr>
          <w:sz w:val="24"/>
        </w:rPr>
      </w:pPr>
    </w:p>
    <w:p w14:paraId="33260290" w14:textId="77777777" w:rsidR="00885640" w:rsidRPr="001E3A0E" w:rsidRDefault="00885640" w:rsidP="00885640">
      <w:pPr>
        <w:rPr>
          <w:sz w:val="24"/>
        </w:rPr>
      </w:pPr>
    </w:p>
    <w:p w14:paraId="543D2A40" w14:textId="77777777" w:rsidR="00885640" w:rsidRPr="001E3A0E" w:rsidRDefault="00885640" w:rsidP="00885640">
      <w:pPr>
        <w:rPr>
          <w:sz w:val="24"/>
        </w:rPr>
      </w:pPr>
    </w:p>
    <w:p w14:paraId="498AAE38" w14:textId="426132E6" w:rsidR="00885640" w:rsidRPr="001E3A0E" w:rsidRDefault="001E3A0E" w:rsidP="00885640">
      <w:pPr>
        <w:rPr>
          <w:rFonts w:eastAsiaTheme="minorEastAsia"/>
          <w:b/>
          <w:bCs/>
          <w:sz w:val="24"/>
          <w:lang w:eastAsia="zh-CN"/>
        </w:rPr>
      </w:pPr>
      <w:r w:rsidRPr="001E3A0E">
        <w:rPr>
          <w:rFonts w:eastAsiaTheme="minorEastAsia"/>
          <w:b/>
          <w:bCs/>
          <w:sz w:val="24"/>
          <w:lang w:eastAsia="zh-CN"/>
        </w:rPr>
        <w:t>Table 1b Characteristics of studies included for narrative discussion</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492"/>
        <w:gridCol w:w="2410"/>
        <w:gridCol w:w="709"/>
        <w:gridCol w:w="1701"/>
        <w:gridCol w:w="1134"/>
        <w:gridCol w:w="1559"/>
        <w:gridCol w:w="1701"/>
        <w:gridCol w:w="992"/>
        <w:gridCol w:w="2127"/>
      </w:tblGrid>
      <w:tr w:rsidR="00885640" w:rsidRPr="001E3A0E" w14:paraId="7A8C5DA0" w14:textId="77777777" w:rsidTr="000B7B7D">
        <w:trPr>
          <w:trHeight w:val="320"/>
          <w:tblHeader/>
        </w:trPr>
        <w:tc>
          <w:tcPr>
            <w:tcW w:w="771" w:type="dxa"/>
            <w:tcBorders>
              <w:top w:val="single" w:sz="4" w:space="0" w:color="auto"/>
              <w:left w:val="single" w:sz="4" w:space="0" w:color="auto"/>
              <w:bottom w:val="single" w:sz="4" w:space="0" w:color="auto"/>
              <w:right w:val="single" w:sz="4" w:space="0" w:color="auto"/>
            </w:tcBorders>
          </w:tcPr>
          <w:p w14:paraId="684A736E" w14:textId="77777777" w:rsidR="00885640" w:rsidRPr="001E3A0E" w:rsidRDefault="00885640" w:rsidP="00885640">
            <w:pPr>
              <w:rPr>
                <w:b/>
                <w:bCs/>
                <w:szCs w:val="20"/>
              </w:rPr>
            </w:pPr>
            <w:r w:rsidRPr="001E3A0E">
              <w:rPr>
                <w:b/>
                <w:bCs/>
                <w:szCs w:val="20"/>
              </w:rPr>
              <w:t>Study ID</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420B" w14:textId="44EE19D5" w:rsidR="00885640" w:rsidRPr="001E3A0E" w:rsidRDefault="00885640" w:rsidP="00885640">
            <w:pPr>
              <w:rPr>
                <w:b/>
                <w:bCs/>
                <w:szCs w:val="20"/>
              </w:rPr>
            </w:pPr>
            <w:r w:rsidRPr="001E3A0E">
              <w:rPr>
                <w:b/>
                <w:bCs/>
                <w:szCs w:val="20"/>
              </w:rPr>
              <w:t xml:space="preserve">Study </w:t>
            </w:r>
          </w:p>
          <w:p w14:paraId="7B6155DE" w14:textId="77777777" w:rsidR="00885640" w:rsidRPr="001E3A0E" w:rsidRDefault="00885640" w:rsidP="00885640">
            <w:pPr>
              <w:rPr>
                <w:b/>
                <w:bCs/>
                <w:szCs w:val="20"/>
              </w:rPr>
            </w:pPr>
            <w:r w:rsidRPr="001E3A0E">
              <w:rPr>
                <w:b/>
                <w:bCs/>
                <w:szCs w:val="20"/>
              </w:rPr>
              <w:t>First Author, year</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8167D" w14:textId="77777777" w:rsidR="00885640" w:rsidRPr="001E3A0E" w:rsidRDefault="00885640" w:rsidP="00885640">
            <w:pPr>
              <w:rPr>
                <w:b/>
                <w:bCs/>
                <w:szCs w:val="20"/>
              </w:rPr>
            </w:pPr>
            <w:r w:rsidRPr="001E3A0E">
              <w:rPr>
                <w:b/>
                <w:bCs/>
                <w:szCs w:val="20"/>
              </w:rPr>
              <w:t>Setting: cohort name (if reported)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3A887" w14:textId="77777777" w:rsidR="00885640" w:rsidRPr="001E3A0E" w:rsidRDefault="00885640" w:rsidP="00885640">
            <w:pPr>
              <w:rPr>
                <w:b/>
                <w:bCs/>
                <w:szCs w:val="20"/>
              </w:rPr>
            </w:pPr>
            <w:r w:rsidRPr="001E3A0E">
              <w:rPr>
                <w:b/>
                <w:bCs/>
                <w:szCs w:val="20"/>
              </w:rPr>
              <w:t>Number of participants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52B32" w14:textId="77777777" w:rsidR="00885640" w:rsidRPr="001E3A0E" w:rsidRDefault="00885640" w:rsidP="00885640">
            <w:pPr>
              <w:rPr>
                <w:b/>
                <w:bCs/>
                <w:szCs w:val="20"/>
              </w:rPr>
            </w:pPr>
            <w:r w:rsidRPr="001E3A0E">
              <w:rPr>
                <w:b/>
                <w:bCs/>
                <w:szCs w:val="20"/>
              </w:rPr>
              <w:t>Mean age at baseline (range)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6E339" w14:textId="77777777" w:rsidR="00885640" w:rsidRPr="001E3A0E" w:rsidRDefault="00885640" w:rsidP="00885640">
            <w:pPr>
              <w:rPr>
                <w:b/>
                <w:bCs/>
                <w:szCs w:val="20"/>
              </w:rPr>
            </w:pPr>
            <w:r w:rsidRPr="001E3A0E">
              <w:rPr>
                <w:b/>
                <w:bCs/>
                <w:szCs w:val="20"/>
              </w:rPr>
              <w:t>Women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7D52E" w14:textId="77777777" w:rsidR="00885640" w:rsidRPr="001E3A0E" w:rsidRDefault="00885640" w:rsidP="00885640">
            <w:pPr>
              <w:rPr>
                <w:b/>
                <w:bCs/>
                <w:szCs w:val="20"/>
              </w:rPr>
            </w:pPr>
            <w:r w:rsidRPr="001E3A0E">
              <w:rPr>
                <w:b/>
                <w:bCs/>
                <w:szCs w:val="20"/>
              </w:rPr>
              <w:t>Baseline period, year(s)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A0686" w14:textId="77777777" w:rsidR="00885640" w:rsidRPr="001E3A0E" w:rsidRDefault="00885640" w:rsidP="00885640">
            <w:pPr>
              <w:rPr>
                <w:b/>
                <w:bCs/>
                <w:szCs w:val="20"/>
              </w:rPr>
            </w:pPr>
            <w:r w:rsidRPr="001E3A0E">
              <w:rPr>
                <w:b/>
                <w:bCs/>
                <w:szCs w:val="20"/>
              </w:rPr>
              <w:t>Follow-up period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92118" w14:textId="77777777" w:rsidR="00885640" w:rsidRPr="001E3A0E" w:rsidRDefault="00885640" w:rsidP="00885640">
            <w:pPr>
              <w:rPr>
                <w:b/>
                <w:bCs/>
                <w:szCs w:val="20"/>
              </w:rPr>
            </w:pPr>
            <w:r w:rsidRPr="001E3A0E">
              <w:rPr>
                <w:b/>
                <w:bCs/>
                <w:szCs w:val="20"/>
              </w:rPr>
              <w:t>Number of deficits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74419" w14:textId="77777777" w:rsidR="00885640" w:rsidRPr="001E3A0E" w:rsidRDefault="00885640" w:rsidP="00885640">
            <w:pPr>
              <w:rPr>
                <w:b/>
                <w:bCs/>
                <w:szCs w:val="20"/>
              </w:rPr>
            </w:pPr>
            <w:r w:rsidRPr="001E3A0E">
              <w:rPr>
                <w:b/>
                <w:bCs/>
                <w:szCs w:val="20"/>
              </w:rPr>
              <w:t>Frailty cut- points</w:t>
            </w:r>
          </w:p>
        </w:tc>
      </w:tr>
      <w:tr w:rsidR="00885640" w:rsidRPr="001E3A0E" w14:paraId="7FFAFD7B"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5F0CE90" w14:textId="77777777" w:rsidR="00885640" w:rsidRPr="001E3A0E" w:rsidRDefault="00885640" w:rsidP="00885640">
            <w:pPr>
              <w:rPr>
                <w:szCs w:val="20"/>
              </w:rPr>
            </w:pPr>
            <w:r w:rsidRPr="001E3A0E">
              <w:rPr>
                <w:szCs w:val="20"/>
              </w:rPr>
              <w:t>4</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16BDD" w14:textId="77777777" w:rsidR="00885640" w:rsidRPr="001E3A0E" w:rsidRDefault="00885640" w:rsidP="00885640">
            <w:pPr>
              <w:rPr>
                <w:szCs w:val="20"/>
              </w:rPr>
            </w:pPr>
            <w:r w:rsidRPr="001E3A0E">
              <w:rPr>
                <w:noProof/>
                <w:szCs w:val="20"/>
              </w:rPr>
              <w:t>Armstrong et al. (2015a)</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D960" w14:textId="77777777" w:rsidR="00885640" w:rsidRPr="001E3A0E" w:rsidRDefault="00885640" w:rsidP="00885640">
            <w:pPr>
              <w:rPr>
                <w:szCs w:val="20"/>
              </w:rPr>
            </w:pPr>
            <w:r w:rsidRPr="001E3A0E">
              <w:rPr>
                <w:szCs w:val="20"/>
              </w:rPr>
              <w:t>USA (Oahu, Hawaii): Honolulu-Asia Aging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F46C" w14:textId="77777777" w:rsidR="00885640" w:rsidRPr="001E3A0E" w:rsidRDefault="00885640" w:rsidP="00885640">
            <w:pPr>
              <w:rPr>
                <w:szCs w:val="20"/>
              </w:rPr>
            </w:pPr>
            <w:r w:rsidRPr="001E3A0E">
              <w:rPr>
                <w:szCs w:val="20"/>
              </w:rPr>
              <w:t>3845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B7DB9" w14:textId="77777777" w:rsidR="00885640" w:rsidRPr="001E3A0E" w:rsidRDefault="00885640" w:rsidP="00885640">
            <w:pPr>
              <w:rPr>
                <w:szCs w:val="20"/>
              </w:rPr>
            </w:pPr>
            <w:r w:rsidRPr="001E3A0E">
              <w:rPr>
                <w:szCs w:val="20"/>
              </w:rPr>
              <w:t>77.9 (&gt;=71)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2D54E" w14:textId="77777777" w:rsidR="00885640" w:rsidRPr="001E3A0E" w:rsidRDefault="00885640" w:rsidP="00885640">
            <w:pPr>
              <w:rPr>
                <w:szCs w:val="20"/>
              </w:rPr>
            </w:pPr>
            <w:r w:rsidRPr="001E3A0E">
              <w:rPr>
                <w:szCs w:val="20"/>
              </w:rPr>
              <w:t>Men only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E0CE5" w14:textId="77777777" w:rsidR="00885640" w:rsidRPr="001E3A0E" w:rsidRDefault="00885640" w:rsidP="00885640">
            <w:pPr>
              <w:rPr>
                <w:szCs w:val="20"/>
              </w:rPr>
            </w:pPr>
            <w:r w:rsidRPr="001E3A0E">
              <w:rPr>
                <w:szCs w:val="20"/>
              </w:rPr>
              <w:t>1991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74D3" w14:textId="77777777" w:rsidR="00885640" w:rsidRPr="001E3A0E" w:rsidRDefault="00885640" w:rsidP="00885640">
            <w:pPr>
              <w:rPr>
                <w:szCs w:val="20"/>
              </w:rPr>
            </w:pPr>
            <w:r w:rsidRPr="001E3A0E">
              <w:rPr>
                <w:szCs w:val="20"/>
              </w:rPr>
              <w:t>Approximately every 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8F01" w14:textId="77777777" w:rsidR="00885640" w:rsidRPr="001E3A0E" w:rsidRDefault="00885640" w:rsidP="00885640">
            <w:pPr>
              <w:rPr>
                <w:szCs w:val="20"/>
              </w:rPr>
            </w:pPr>
            <w:r w:rsidRPr="001E3A0E">
              <w:rPr>
                <w:szCs w:val="20"/>
              </w:rPr>
              <w:t>48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9F6BA" w14:textId="77777777" w:rsidR="00885640" w:rsidRPr="001E3A0E" w:rsidRDefault="00885640" w:rsidP="00885640">
            <w:pPr>
              <w:rPr>
                <w:szCs w:val="20"/>
              </w:rPr>
            </w:pPr>
            <w:r w:rsidRPr="001E3A0E">
              <w:rPr>
                <w:szCs w:val="20"/>
              </w:rPr>
              <w:t>NR</w:t>
            </w:r>
          </w:p>
        </w:tc>
      </w:tr>
      <w:tr w:rsidR="00885640" w:rsidRPr="001E3A0E" w14:paraId="1037E02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ADB5590" w14:textId="77777777" w:rsidR="00885640" w:rsidRPr="001E3A0E" w:rsidRDefault="00885640" w:rsidP="00885640">
            <w:pPr>
              <w:rPr>
                <w:szCs w:val="20"/>
              </w:rPr>
            </w:pPr>
            <w:r w:rsidRPr="001E3A0E">
              <w:rPr>
                <w:szCs w:val="20"/>
              </w:rPr>
              <w:t>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E5526" w14:textId="77777777" w:rsidR="00885640" w:rsidRPr="001E3A0E" w:rsidRDefault="00885640" w:rsidP="00885640">
            <w:pPr>
              <w:rPr>
                <w:szCs w:val="20"/>
              </w:rPr>
            </w:pPr>
            <w:r w:rsidRPr="001E3A0E">
              <w:rPr>
                <w:noProof/>
                <w:szCs w:val="20"/>
              </w:rPr>
              <w:t>Armstrong et al. (2015b)</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527E" w14:textId="77777777" w:rsidR="00885640" w:rsidRPr="001E3A0E" w:rsidRDefault="00885640" w:rsidP="00885640">
            <w:pPr>
              <w:rPr>
                <w:szCs w:val="20"/>
              </w:rPr>
            </w:pPr>
            <w:r w:rsidRPr="001E3A0E">
              <w:rPr>
                <w:szCs w:val="20"/>
              </w:rPr>
              <w:t>USA (Oahu, Hawaii): Honolulu-Asia Aging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94C0" w14:textId="77777777" w:rsidR="00885640" w:rsidRPr="001E3A0E" w:rsidRDefault="00885640" w:rsidP="00885640">
            <w:pPr>
              <w:rPr>
                <w:szCs w:val="20"/>
              </w:rPr>
            </w:pPr>
            <w:r w:rsidRPr="001E3A0E">
              <w:rPr>
                <w:szCs w:val="20"/>
              </w:rPr>
              <w:t>3845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94F95" w14:textId="77777777" w:rsidR="00885640" w:rsidRPr="001E3A0E" w:rsidRDefault="00885640" w:rsidP="00885640">
            <w:pPr>
              <w:rPr>
                <w:szCs w:val="20"/>
              </w:rPr>
            </w:pPr>
            <w:r w:rsidRPr="001E3A0E">
              <w:rPr>
                <w:szCs w:val="20"/>
              </w:rPr>
              <w:t>NR (72 - 93)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EEC0F" w14:textId="77777777" w:rsidR="00885640" w:rsidRPr="001E3A0E" w:rsidRDefault="00885640" w:rsidP="00885640">
            <w:pPr>
              <w:rPr>
                <w:szCs w:val="20"/>
              </w:rPr>
            </w:pPr>
            <w:r w:rsidRPr="001E3A0E">
              <w:rPr>
                <w:szCs w:val="20"/>
              </w:rPr>
              <w:t>Men only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C8B3" w14:textId="77777777" w:rsidR="00885640" w:rsidRPr="001E3A0E" w:rsidRDefault="00885640" w:rsidP="00885640">
            <w:pPr>
              <w:rPr>
                <w:szCs w:val="20"/>
              </w:rPr>
            </w:pPr>
            <w:r w:rsidRPr="001E3A0E">
              <w:rPr>
                <w:szCs w:val="20"/>
              </w:rPr>
              <w:t>1991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A5F48" w14:textId="77777777" w:rsidR="00885640" w:rsidRPr="001E3A0E" w:rsidRDefault="00885640" w:rsidP="00885640">
            <w:pPr>
              <w:rPr>
                <w:szCs w:val="20"/>
              </w:rPr>
            </w:pPr>
            <w:r w:rsidRPr="001E3A0E">
              <w:rPr>
                <w:szCs w:val="20"/>
              </w:rPr>
              <w:t>Every 2-3 years over 20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62858"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93FB" w14:textId="77777777" w:rsidR="00885640" w:rsidRPr="001E3A0E" w:rsidRDefault="00885640" w:rsidP="00885640">
            <w:pPr>
              <w:rPr>
                <w:szCs w:val="20"/>
              </w:rPr>
            </w:pPr>
            <w:r w:rsidRPr="001E3A0E">
              <w:rPr>
                <w:szCs w:val="20"/>
              </w:rPr>
              <w:t>NR</w:t>
            </w:r>
          </w:p>
        </w:tc>
      </w:tr>
      <w:tr w:rsidR="00885640" w:rsidRPr="001E3A0E" w14:paraId="66A4A141"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A9DDA3B" w14:textId="77777777" w:rsidR="00885640" w:rsidRPr="001E3A0E" w:rsidRDefault="00885640" w:rsidP="00885640">
            <w:pPr>
              <w:rPr>
                <w:szCs w:val="20"/>
              </w:rPr>
            </w:pPr>
            <w:r w:rsidRPr="001E3A0E">
              <w:rPr>
                <w:szCs w:val="20"/>
              </w:rPr>
              <w:t>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9E286" w14:textId="77777777" w:rsidR="00885640" w:rsidRPr="001E3A0E" w:rsidRDefault="00885640" w:rsidP="00885640">
            <w:pPr>
              <w:rPr>
                <w:szCs w:val="20"/>
              </w:rPr>
            </w:pPr>
            <w:r w:rsidRPr="001E3A0E">
              <w:rPr>
                <w:noProof/>
                <w:szCs w:val="20"/>
              </w:rPr>
              <w:t>Bartley et al. (2016)</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0764" w14:textId="77777777" w:rsidR="00885640" w:rsidRPr="001E3A0E" w:rsidRDefault="00885640" w:rsidP="00885640">
            <w:pPr>
              <w:rPr>
                <w:szCs w:val="20"/>
              </w:rPr>
            </w:pPr>
            <w:r w:rsidRPr="001E3A0E">
              <w:rPr>
                <w:szCs w:val="20"/>
              </w:rPr>
              <w:t>USA (Olmsted County, Minnesota): Mayo Clinic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C89ED" w14:textId="77777777" w:rsidR="00885640" w:rsidRPr="001E3A0E" w:rsidRDefault="00885640" w:rsidP="00885640">
            <w:pPr>
              <w:rPr>
                <w:szCs w:val="20"/>
              </w:rPr>
            </w:pPr>
            <w:r w:rsidRPr="001E3A0E">
              <w:rPr>
                <w:szCs w:val="20"/>
              </w:rPr>
              <w:t>2356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43A04" w14:textId="77777777" w:rsidR="00885640" w:rsidRPr="001E3A0E" w:rsidRDefault="00885640" w:rsidP="00885640">
            <w:pPr>
              <w:rPr>
                <w:szCs w:val="20"/>
              </w:rPr>
            </w:pPr>
            <w:r w:rsidRPr="001E3A0E">
              <w:rPr>
                <w:szCs w:val="20"/>
              </w:rPr>
              <w:t>78.8 (70 - 89)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27B07" w14:textId="77777777" w:rsidR="00885640" w:rsidRPr="001E3A0E" w:rsidRDefault="00885640" w:rsidP="00885640">
            <w:pPr>
              <w:rPr>
                <w:szCs w:val="20"/>
              </w:rPr>
            </w:pPr>
            <w:r w:rsidRPr="001E3A0E">
              <w:rPr>
                <w:szCs w:val="20"/>
              </w:rPr>
              <w:t>49.8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691A4" w14:textId="77777777" w:rsidR="00885640" w:rsidRPr="001E3A0E" w:rsidRDefault="00885640" w:rsidP="00885640">
            <w:pPr>
              <w:rPr>
                <w:szCs w:val="20"/>
              </w:rPr>
            </w:pPr>
            <w:r w:rsidRPr="001E3A0E">
              <w:rPr>
                <w:szCs w:val="20"/>
              </w:rPr>
              <w:t>2008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DE8BD" w14:textId="77777777" w:rsidR="00885640" w:rsidRPr="001E3A0E" w:rsidRDefault="00885640" w:rsidP="00885640">
            <w:pPr>
              <w:rPr>
                <w:szCs w:val="20"/>
              </w:rPr>
            </w:pPr>
            <w:r w:rsidRPr="001E3A0E">
              <w:rPr>
                <w:szCs w:val="20"/>
              </w:rPr>
              <w:t>Every 15 months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6824A"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0C60" w14:textId="77777777" w:rsidR="00885640" w:rsidRPr="001E3A0E" w:rsidRDefault="00885640" w:rsidP="00885640">
            <w:pPr>
              <w:rPr>
                <w:szCs w:val="20"/>
              </w:rPr>
            </w:pPr>
            <w:r w:rsidRPr="001E3A0E">
              <w:rPr>
                <w:szCs w:val="20"/>
              </w:rPr>
              <w:t xml:space="preserve">Fit (FI&lt;=0.10); </w:t>
            </w:r>
            <w:r w:rsidRPr="001E3A0E">
              <w:rPr>
                <w:szCs w:val="20"/>
              </w:rPr>
              <w:br/>
              <w:t xml:space="preserve">At Risk (0.10&lt;FI&lt;=0.20); </w:t>
            </w:r>
            <w:r w:rsidRPr="001E3A0E">
              <w:rPr>
                <w:szCs w:val="20"/>
              </w:rPr>
              <w:br/>
              <w:t>Frail (0.21&lt;=FI&lt;0.30);</w:t>
            </w:r>
            <w:r w:rsidRPr="001E3A0E">
              <w:rPr>
                <w:szCs w:val="20"/>
              </w:rPr>
              <w:br/>
              <w:t>Frailest (FI&gt;0.30)</w:t>
            </w:r>
          </w:p>
        </w:tc>
      </w:tr>
      <w:tr w:rsidR="00885640" w:rsidRPr="001E3A0E" w14:paraId="36F7C0F8"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4CB2769" w14:textId="77777777" w:rsidR="00885640" w:rsidRPr="001E3A0E" w:rsidRDefault="00885640" w:rsidP="00885640">
            <w:pPr>
              <w:rPr>
                <w:szCs w:val="20"/>
              </w:rPr>
            </w:pPr>
            <w:r w:rsidRPr="001E3A0E">
              <w:rPr>
                <w:szCs w:val="20"/>
              </w:rPr>
              <w:t>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3B719" w14:textId="77777777" w:rsidR="00885640" w:rsidRPr="001E3A0E" w:rsidRDefault="00885640" w:rsidP="00885640">
            <w:pPr>
              <w:rPr>
                <w:szCs w:val="20"/>
              </w:rPr>
            </w:pPr>
            <w:r w:rsidRPr="001E3A0E">
              <w:rPr>
                <w:noProof/>
                <w:szCs w:val="20"/>
              </w:rPr>
              <w:t>Blodgett et al. (2017)</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3E64A" w14:textId="77777777" w:rsidR="00885640" w:rsidRPr="001E3A0E" w:rsidRDefault="00885640" w:rsidP="00885640">
            <w:pPr>
              <w:rPr>
                <w:szCs w:val="20"/>
              </w:rPr>
            </w:pPr>
            <w:r w:rsidRPr="001E3A0E">
              <w:rPr>
                <w:szCs w:val="20"/>
              </w:rPr>
              <w:t>USA: National Health and Nutrition Examination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6852B" w14:textId="77777777" w:rsidR="00885640" w:rsidRPr="001E3A0E" w:rsidRDefault="00885640" w:rsidP="00885640">
            <w:pPr>
              <w:rPr>
                <w:szCs w:val="20"/>
              </w:rPr>
            </w:pPr>
            <w:r w:rsidRPr="001E3A0E">
              <w:rPr>
                <w:szCs w:val="20"/>
              </w:rPr>
              <w:t>8888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F85C2" w14:textId="77777777" w:rsidR="00885640" w:rsidRPr="001E3A0E" w:rsidRDefault="00885640" w:rsidP="00885640">
            <w:pPr>
              <w:rPr>
                <w:szCs w:val="20"/>
              </w:rPr>
            </w:pPr>
            <w:r w:rsidRPr="001E3A0E">
              <w:rPr>
                <w:szCs w:val="20"/>
              </w:rPr>
              <w:t>49.4 (&gt;=20)</w:t>
            </w:r>
            <w:r w:rsidRPr="001E3A0E">
              <w:rPr>
                <w:rStyle w:val="FootnoteReference"/>
                <w:szCs w:val="20"/>
              </w:rPr>
              <w:footnoteReference w:id="2"/>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B33B9" w14:textId="77777777" w:rsidR="00885640" w:rsidRPr="001E3A0E" w:rsidRDefault="00885640" w:rsidP="00885640">
            <w:pPr>
              <w:rPr>
                <w:szCs w:val="20"/>
              </w:rPr>
            </w:pPr>
            <w:r w:rsidRPr="001E3A0E">
              <w:rPr>
                <w:szCs w:val="20"/>
              </w:rPr>
              <w:t>51.7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C2EA7" w14:textId="77777777" w:rsidR="00885640" w:rsidRPr="001E3A0E" w:rsidRDefault="00885640" w:rsidP="00885640">
            <w:pPr>
              <w:rPr>
                <w:szCs w:val="20"/>
              </w:rPr>
            </w:pPr>
            <w:r w:rsidRPr="001E3A0E">
              <w:rPr>
                <w:szCs w:val="20"/>
              </w:rPr>
              <w:t>2003-2006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8C77"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3A" w14:textId="77777777" w:rsidR="00885640" w:rsidRPr="001E3A0E" w:rsidRDefault="00885640" w:rsidP="00885640">
            <w:pPr>
              <w:rPr>
                <w:szCs w:val="20"/>
              </w:rPr>
            </w:pPr>
            <w:r w:rsidRPr="001E3A0E">
              <w:rPr>
                <w:szCs w:val="20"/>
              </w:rPr>
              <w:t>68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14599" w14:textId="77777777" w:rsidR="00885640" w:rsidRPr="001E3A0E" w:rsidRDefault="00885640" w:rsidP="00885640">
            <w:pPr>
              <w:rPr>
                <w:szCs w:val="20"/>
              </w:rPr>
            </w:pPr>
            <w:r w:rsidRPr="001E3A0E">
              <w:rPr>
                <w:szCs w:val="20"/>
              </w:rPr>
              <w:t>Frailty scores are categorised incrementally</w:t>
            </w:r>
          </w:p>
        </w:tc>
      </w:tr>
      <w:tr w:rsidR="00885640" w:rsidRPr="001E3A0E" w14:paraId="3230F4D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9B2C162" w14:textId="77777777" w:rsidR="00885640" w:rsidRPr="001E3A0E" w:rsidRDefault="00885640" w:rsidP="00885640">
            <w:pPr>
              <w:rPr>
                <w:szCs w:val="20"/>
              </w:rPr>
            </w:pPr>
            <w:r w:rsidRPr="001E3A0E">
              <w:rPr>
                <w:szCs w:val="20"/>
              </w:rPr>
              <w:t>8</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1BDE5" w14:textId="77777777" w:rsidR="00885640" w:rsidRPr="001E3A0E" w:rsidRDefault="00885640" w:rsidP="00885640">
            <w:pPr>
              <w:rPr>
                <w:szCs w:val="20"/>
              </w:rPr>
            </w:pPr>
            <w:r w:rsidRPr="001E3A0E">
              <w:rPr>
                <w:noProof/>
                <w:szCs w:val="20"/>
              </w:rPr>
              <w:t>Chamberlain et al. (2016)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EC63E" w14:textId="77777777" w:rsidR="00885640" w:rsidRPr="001E3A0E" w:rsidRDefault="00885640" w:rsidP="00885640">
            <w:pPr>
              <w:rPr>
                <w:szCs w:val="20"/>
              </w:rPr>
            </w:pPr>
            <w:r w:rsidRPr="001E3A0E">
              <w:rPr>
                <w:szCs w:val="20"/>
              </w:rPr>
              <w:t>USA (Olmsted County, Minnesota)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82061" w14:textId="77777777" w:rsidR="00885640" w:rsidRPr="001E3A0E" w:rsidRDefault="00885640" w:rsidP="00885640">
            <w:pPr>
              <w:rPr>
                <w:szCs w:val="20"/>
              </w:rPr>
            </w:pPr>
            <w:r w:rsidRPr="001E3A0E">
              <w:rPr>
                <w:szCs w:val="20"/>
              </w:rPr>
              <w:t>12270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D36C" w14:textId="77777777" w:rsidR="00885640" w:rsidRPr="001E3A0E" w:rsidRDefault="00885640" w:rsidP="00885640">
            <w:pPr>
              <w:rPr>
                <w:szCs w:val="20"/>
              </w:rPr>
            </w:pPr>
            <w:r w:rsidRPr="001E3A0E">
              <w:rPr>
                <w:szCs w:val="20"/>
              </w:rPr>
              <w:t>70.5 (60 - 89)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BA30" w14:textId="77777777" w:rsidR="00885640" w:rsidRPr="001E3A0E" w:rsidRDefault="00885640" w:rsidP="00885640">
            <w:pPr>
              <w:rPr>
                <w:szCs w:val="20"/>
              </w:rPr>
            </w:pPr>
            <w:r w:rsidRPr="001E3A0E">
              <w:rPr>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0B494" w14:textId="77777777" w:rsidR="00885640" w:rsidRPr="001E3A0E" w:rsidRDefault="00885640" w:rsidP="00885640">
            <w:pPr>
              <w:rPr>
                <w:szCs w:val="20"/>
              </w:rPr>
            </w:pPr>
            <w:r w:rsidRPr="001E3A0E">
              <w:rPr>
                <w:szCs w:val="20"/>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C7665" w14:textId="77777777" w:rsidR="00885640" w:rsidRPr="001E3A0E" w:rsidRDefault="00885640" w:rsidP="00885640">
            <w:pPr>
              <w:rPr>
                <w:szCs w:val="20"/>
              </w:rPr>
            </w:pPr>
            <w:r w:rsidRPr="001E3A0E">
              <w:rPr>
                <w:szCs w:val="20"/>
              </w:rPr>
              <w:t>8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6D86E" w14:textId="77777777" w:rsidR="00885640" w:rsidRPr="001E3A0E" w:rsidRDefault="00885640" w:rsidP="00885640">
            <w:pPr>
              <w:rPr>
                <w:szCs w:val="20"/>
              </w:rPr>
            </w:pPr>
            <w:r w:rsidRPr="001E3A0E">
              <w:rPr>
                <w:szCs w:val="20"/>
              </w:rPr>
              <w:t>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9E8B3" w14:textId="77777777" w:rsidR="00885640" w:rsidRPr="001E3A0E" w:rsidRDefault="00885640" w:rsidP="00885640">
            <w:pPr>
              <w:rPr>
                <w:szCs w:val="20"/>
              </w:rPr>
            </w:pPr>
            <w:r w:rsidRPr="001E3A0E">
              <w:rPr>
                <w:szCs w:val="20"/>
              </w:rPr>
              <w:t>NR</w:t>
            </w:r>
          </w:p>
        </w:tc>
      </w:tr>
      <w:tr w:rsidR="00885640" w:rsidRPr="001E3A0E" w14:paraId="09C8D171"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B2EBA53" w14:textId="77777777" w:rsidR="00885640" w:rsidRPr="001E3A0E" w:rsidRDefault="00885640" w:rsidP="00885640">
            <w:pPr>
              <w:rPr>
                <w:szCs w:val="20"/>
              </w:rPr>
            </w:pPr>
            <w:r w:rsidRPr="001E3A0E">
              <w:rPr>
                <w:szCs w:val="20"/>
              </w:rPr>
              <w:t>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EB52D" w14:textId="77777777" w:rsidR="00885640" w:rsidRPr="001E3A0E" w:rsidRDefault="00885640" w:rsidP="00885640">
            <w:pPr>
              <w:rPr>
                <w:szCs w:val="20"/>
              </w:rPr>
            </w:pPr>
            <w:r w:rsidRPr="001E3A0E">
              <w:rPr>
                <w:noProof/>
                <w:szCs w:val="20"/>
              </w:rPr>
              <w:t>Fallah et al. (2011)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973F0" w14:textId="77777777" w:rsidR="00885640" w:rsidRPr="001E3A0E" w:rsidRDefault="00885640" w:rsidP="00885640">
            <w:pPr>
              <w:rPr>
                <w:szCs w:val="20"/>
              </w:rPr>
            </w:pPr>
            <w:r w:rsidRPr="001E3A0E">
              <w:rPr>
                <w:szCs w:val="20"/>
              </w:rPr>
              <w:t>USA (New Haven, Connecticut): Yale Precipitating Events Project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189F1" w14:textId="77777777" w:rsidR="00885640" w:rsidRPr="001E3A0E" w:rsidRDefault="00885640" w:rsidP="00885640">
            <w:pPr>
              <w:rPr>
                <w:szCs w:val="20"/>
              </w:rPr>
            </w:pPr>
            <w:r w:rsidRPr="001E3A0E">
              <w:rPr>
                <w:szCs w:val="20"/>
              </w:rPr>
              <w:t>754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5AE88" w14:textId="77777777" w:rsidR="00885640" w:rsidRPr="001E3A0E" w:rsidRDefault="00885640" w:rsidP="00885640">
            <w:pPr>
              <w:rPr>
                <w:szCs w:val="20"/>
              </w:rPr>
            </w:pPr>
            <w:r w:rsidRPr="001E3A0E">
              <w:rPr>
                <w:szCs w:val="20"/>
              </w:rPr>
              <w:t>78.0 (&gt;=70)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51EC" w14:textId="77777777" w:rsidR="00885640" w:rsidRPr="001E3A0E" w:rsidRDefault="00885640" w:rsidP="00885640">
            <w:pPr>
              <w:rPr>
                <w:szCs w:val="20"/>
              </w:rPr>
            </w:pPr>
            <w:r w:rsidRPr="001E3A0E">
              <w:rPr>
                <w:szCs w:val="20"/>
              </w:rPr>
              <w:t>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C59F"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40A" w14:textId="77777777" w:rsidR="00885640" w:rsidRPr="001E3A0E" w:rsidRDefault="00885640" w:rsidP="00885640">
            <w:pPr>
              <w:rPr>
                <w:szCs w:val="20"/>
              </w:rPr>
            </w:pPr>
            <w:r w:rsidRPr="001E3A0E">
              <w:rPr>
                <w:szCs w:val="20"/>
              </w:rPr>
              <w:t>Every 1.5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3B513"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73E5" w14:textId="77777777" w:rsidR="00885640" w:rsidRPr="001E3A0E" w:rsidRDefault="00885640" w:rsidP="00885640">
            <w:pPr>
              <w:rPr>
                <w:szCs w:val="20"/>
              </w:rPr>
            </w:pPr>
            <w:r w:rsidRPr="001E3A0E">
              <w:rPr>
                <w:szCs w:val="20"/>
              </w:rPr>
              <w:t>NR</w:t>
            </w:r>
          </w:p>
        </w:tc>
      </w:tr>
      <w:tr w:rsidR="00885640" w:rsidRPr="001E3A0E" w14:paraId="4B29361B"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81786D5" w14:textId="77777777" w:rsidR="00885640" w:rsidRPr="001E3A0E" w:rsidRDefault="00885640" w:rsidP="00885640">
            <w:pPr>
              <w:rPr>
                <w:szCs w:val="20"/>
              </w:rPr>
            </w:pPr>
            <w:r w:rsidRPr="001E3A0E">
              <w:rPr>
                <w:szCs w:val="20"/>
              </w:rPr>
              <w:t>10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C9A38" w14:textId="77777777" w:rsidR="00885640" w:rsidRPr="001E3A0E" w:rsidRDefault="00885640" w:rsidP="00885640">
            <w:pPr>
              <w:rPr>
                <w:szCs w:val="20"/>
              </w:rPr>
            </w:pPr>
            <w:r w:rsidRPr="001E3A0E">
              <w:rPr>
                <w:noProof/>
                <w:szCs w:val="20"/>
              </w:rPr>
              <w:t>Shi et al. (2020)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529BD" w14:textId="77777777" w:rsidR="00885640" w:rsidRPr="001E3A0E" w:rsidRDefault="00885640" w:rsidP="00885640">
            <w:pPr>
              <w:rPr>
                <w:szCs w:val="20"/>
              </w:rPr>
            </w:pPr>
            <w:r w:rsidRPr="001E3A0E">
              <w:rPr>
                <w:szCs w:val="20"/>
              </w:rPr>
              <w:t>USA: The National Health and Aging Trends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17DE" w14:textId="77777777" w:rsidR="00885640" w:rsidRPr="001E3A0E" w:rsidRDefault="00885640" w:rsidP="00885640">
            <w:pPr>
              <w:rPr>
                <w:szCs w:val="20"/>
              </w:rPr>
            </w:pPr>
            <w:r w:rsidRPr="001E3A0E">
              <w:rPr>
                <w:szCs w:val="20"/>
              </w:rPr>
              <w:t>7033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822D" w14:textId="77777777" w:rsidR="00885640" w:rsidRPr="001E3A0E" w:rsidRDefault="00885640" w:rsidP="00885640">
            <w:pPr>
              <w:rPr>
                <w:szCs w:val="20"/>
              </w:rPr>
            </w:pPr>
            <w:r w:rsidRPr="001E3A0E">
              <w:rPr>
                <w:szCs w:val="20"/>
              </w:rPr>
              <w:t>NR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5F315" w14:textId="77777777" w:rsidR="00885640" w:rsidRPr="001E3A0E" w:rsidRDefault="00885640" w:rsidP="00885640">
            <w:pPr>
              <w:rPr>
                <w:szCs w:val="20"/>
              </w:rPr>
            </w:pPr>
            <w:r w:rsidRPr="001E3A0E">
              <w:rPr>
                <w:szCs w:val="20"/>
              </w:rPr>
              <w:t>55.8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B347C" w14:textId="77777777" w:rsidR="00885640" w:rsidRPr="001E3A0E" w:rsidRDefault="00885640" w:rsidP="00885640">
            <w:pPr>
              <w:rPr>
                <w:szCs w:val="20"/>
              </w:rPr>
            </w:pPr>
            <w:r w:rsidRPr="001E3A0E">
              <w:rPr>
                <w:szCs w:val="20"/>
              </w:rPr>
              <w:t>2011-2016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95A4E"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3355" w14:textId="77777777" w:rsidR="00885640" w:rsidRPr="001E3A0E" w:rsidRDefault="00885640" w:rsidP="00885640">
            <w:pPr>
              <w:rPr>
                <w:szCs w:val="20"/>
              </w:rPr>
            </w:pPr>
            <w:r w:rsidRPr="001E3A0E">
              <w:rPr>
                <w:szCs w:val="20"/>
              </w:rPr>
              <w:t>41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02B47" w14:textId="77777777" w:rsidR="00885640" w:rsidRPr="001E3A0E" w:rsidRDefault="00885640" w:rsidP="00885640">
            <w:pPr>
              <w:rPr>
                <w:szCs w:val="20"/>
              </w:rPr>
            </w:pPr>
            <w:r w:rsidRPr="001E3A0E">
              <w:rPr>
                <w:szCs w:val="20"/>
              </w:rPr>
              <w:t>Percentile distribution</w:t>
            </w:r>
          </w:p>
        </w:tc>
      </w:tr>
      <w:tr w:rsidR="00885640" w:rsidRPr="001E3A0E" w14:paraId="1244788D"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70D98A2" w14:textId="77777777" w:rsidR="00885640" w:rsidRPr="001E3A0E" w:rsidRDefault="00885640" w:rsidP="00885640">
            <w:pPr>
              <w:rPr>
                <w:szCs w:val="20"/>
              </w:rPr>
            </w:pPr>
            <w:r w:rsidRPr="001E3A0E">
              <w:rPr>
                <w:szCs w:val="20"/>
              </w:rPr>
              <w:t>11</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524C4" w14:textId="77777777" w:rsidR="00885640" w:rsidRPr="001E3A0E" w:rsidRDefault="00885640" w:rsidP="00885640">
            <w:pPr>
              <w:rPr>
                <w:szCs w:val="20"/>
              </w:rPr>
            </w:pPr>
            <w:r w:rsidRPr="001E3A0E">
              <w:rPr>
                <w:noProof/>
                <w:szCs w:val="20"/>
              </w:rPr>
              <w:t>Brown et al. (2020)</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4998" w14:textId="77777777" w:rsidR="00885640" w:rsidRPr="001E3A0E" w:rsidRDefault="00885640" w:rsidP="00885640">
            <w:pPr>
              <w:rPr>
                <w:szCs w:val="20"/>
              </w:rPr>
            </w:pPr>
            <w:r w:rsidRPr="001E3A0E">
              <w:rPr>
                <w:szCs w:val="20"/>
              </w:rPr>
              <w:t>USA: Lifestyle Interventions and Independence for</w:t>
            </w:r>
            <w:r w:rsidRPr="001E3A0E">
              <w:rPr>
                <w:szCs w:val="20"/>
              </w:rPr>
              <w:br/>
              <w:t>Elders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369D" w14:textId="77777777" w:rsidR="00885640" w:rsidRPr="001E3A0E" w:rsidRDefault="00885640" w:rsidP="00885640">
            <w:pPr>
              <w:rPr>
                <w:szCs w:val="20"/>
              </w:rPr>
            </w:pPr>
            <w:r w:rsidRPr="001E3A0E">
              <w:rPr>
                <w:szCs w:val="20"/>
              </w:rPr>
              <w:t>1635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0228A" w14:textId="77777777" w:rsidR="00885640" w:rsidRPr="001E3A0E" w:rsidRDefault="00885640" w:rsidP="00885640">
            <w:pPr>
              <w:rPr>
                <w:szCs w:val="20"/>
              </w:rPr>
            </w:pPr>
            <w:r w:rsidRPr="001E3A0E">
              <w:rPr>
                <w:szCs w:val="20"/>
              </w:rPr>
              <w:t>79.0 (&gt;=70)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9EB91" w14:textId="77777777" w:rsidR="00885640" w:rsidRPr="001E3A0E" w:rsidRDefault="00885640" w:rsidP="00885640">
            <w:pPr>
              <w:rPr>
                <w:szCs w:val="20"/>
              </w:rPr>
            </w:pPr>
            <w:r w:rsidRPr="001E3A0E">
              <w:rPr>
                <w:szCs w:val="20"/>
              </w:rPr>
              <w:t>67.2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ECE94"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7C063" w14:textId="77777777" w:rsidR="00885640" w:rsidRPr="001E3A0E" w:rsidRDefault="00885640" w:rsidP="00885640">
            <w:pPr>
              <w:rPr>
                <w:szCs w:val="20"/>
              </w:rPr>
            </w:pPr>
            <w:r w:rsidRPr="001E3A0E">
              <w:rPr>
                <w:szCs w:val="20"/>
              </w:rPr>
              <w:t>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C476B" w14:textId="77777777" w:rsidR="00885640" w:rsidRPr="001E3A0E" w:rsidRDefault="00885640" w:rsidP="00885640">
            <w:pPr>
              <w:rPr>
                <w:szCs w:val="20"/>
              </w:rPr>
            </w:pPr>
            <w:r w:rsidRPr="001E3A0E">
              <w:rPr>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CA937" w14:textId="77777777" w:rsidR="00885640" w:rsidRPr="001E3A0E" w:rsidRDefault="00885640" w:rsidP="00885640">
            <w:pPr>
              <w:rPr>
                <w:szCs w:val="20"/>
              </w:rPr>
            </w:pPr>
            <w:r w:rsidRPr="001E3A0E">
              <w:rPr>
                <w:szCs w:val="20"/>
              </w:rPr>
              <w:t>Percentile distribution</w:t>
            </w:r>
          </w:p>
        </w:tc>
      </w:tr>
      <w:tr w:rsidR="00885640" w:rsidRPr="001E3A0E" w14:paraId="3985F89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7D17D55" w14:textId="77777777" w:rsidR="00885640" w:rsidRPr="001E3A0E" w:rsidRDefault="00885640" w:rsidP="00885640">
            <w:pPr>
              <w:rPr>
                <w:szCs w:val="20"/>
              </w:rPr>
            </w:pPr>
            <w:r w:rsidRPr="001E3A0E">
              <w:rPr>
                <w:szCs w:val="20"/>
              </w:rPr>
              <w:t>12</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03FD" w14:textId="77777777" w:rsidR="00885640" w:rsidRPr="001E3A0E" w:rsidRDefault="00885640" w:rsidP="00885640">
            <w:pPr>
              <w:rPr>
                <w:szCs w:val="20"/>
              </w:rPr>
            </w:pPr>
            <w:r w:rsidRPr="001E3A0E">
              <w:rPr>
                <w:noProof/>
                <w:szCs w:val="20"/>
              </w:rPr>
              <w:t>Mitnitski et al. (2007)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FE025" w14:textId="77777777" w:rsidR="00885640" w:rsidRPr="001E3A0E" w:rsidRDefault="00885640" w:rsidP="00885640">
            <w:pPr>
              <w:rPr>
                <w:szCs w:val="20"/>
              </w:rPr>
            </w:pPr>
            <w:r w:rsidRPr="001E3A0E">
              <w:rPr>
                <w:szCs w:val="20"/>
              </w:rPr>
              <w:t>Canada: Canadian National Population Health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6C01C" w14:textId="77777777" w:rsidR="00885640" w:rsidRPr="001E3A0E" w:rsidRDefault="00885640" w:rsidP="00885640">
            <w:pPr>
              <w:rPr>
                <w:szCs w:val="20"/>
              </w:rPr>
            </w:pPr>
            <w:r w:rsidRPr="001E3A0E">
              <w:rPr>
                <w:szCs w:val="20"/>
              </w:rPr>
              <w:t>4330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4D5C1" w14:textId="77777777" w:rsidR="00885640" w:rsidRPr="001E3A0E" w:rsidRDefault="00885640" w:rsidP="00885640">
            <w:pPr>
              <w:rPr>
                <w:szCs w:val="20"/>
              </w:rPr>
            </w:pPr>
            <w:r w:rsidRPr="001E3A0E">
              <w:rPr>
                <w:szCs w:val="20"/>
              </w:rPr>
              <w:t>67.1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90FF3" w14:textId="77777777" w:rsidR="00885640" w:rsidRPr="001E3A0E" w:rsidRDefault="00885640" w:rsidP="00885640">
            <w:pPr>
              <w:rPr>
                <w:szCs w:val="20"/>
              </w:rPr>
            </w:pPr>
            <w:r w:rsidRPr="001E3A0E">
              <w:rPr>
                <w:szCs w:val="20"/>
              </w:rPr>
              <w:t>58.8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5B804" w14:textId="77777777" w:rsidR="00885640" w:rsidRPr="001E3A0E" w:rsidRDefault="00885640" w:rsidP="00885640">
            <w:pPr>
              <w:rPr>
                <w:szCs w:val="20"/>
              </w:rPr>
            </w:pPr>
            <w:r w:rsidRPr="001E3A0E">
              <w:rPr>
                <w:szCs w:val="20"/>
              </w:rPr>
              <w:t>1994-1995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4A05" w14:textId="77777777" w:rsidR="00885640" w:rsidRPr="001E3A0E" w:rsidRDefault="00885640" w:rsidP="00885640">
            <w:pPr>
              <w:rPr>
                <w:szCs w:val="20"/>
              </w:rPr>
            </w:pPr>
            <w:r w:rsidRPr="001E3A0E">
              <w:rPr>
                <w:szCs w:val="20"/>
              </w:rPr>
              <w:t>Every 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701F" w14:textId="77777777" w:rsidR="00885640" w:rsidRPr="001E3A0E" w:rsidRDefault="00885640" w:rsidP="00885640">
            <w:pPr>
              <w:rPr>
                <w:szCs w:val="20"/>
              </w:rPr>
            </w:pPr>
            <w:r w:rsidRPr="001E3A0E">
              <w:rPr>
                <w:szCs w:val="20"/>
              </w:rPr>
              <w:t>22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7019E" w14:textId="77777777" w:rsidR="00885640" w:rsidRPr="001E3A0E" w:rsidRDefault="00885640" w:rsidP="00885640">
            <w:pPr>
              <w:rPr>
                <w:szCs w:val="20"/>
              </w:rPr>
            </w:pPr>
            <w:r w:rsidRPr="001E3A0E">
              <w:rPr>
                <w:szCs w:val="20"/>
              </w:rPr>
              <w:t>NR</w:t>
            </w:r>
          </w:p>
        </w:tc>
      </w:tr>
      <w:tr w:rsidR="00885640" w:rsidRPr="001E3A0E" w14:paraId="13F6C4D6"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39FA6A7" w14:textId="77777777" w:rsidR="00885640" w:rsidRPr="001E3A0E" w:rsidRDefault="00885640" w:rsidP="00885640">
            <w:pPr>
              <w:rPr>
                <w:szCs w:val="20"/>
              </w:rPr>
            </w:pPr>
            <w:r w:rsidRPr="001E3A0E">
              <w:rPr>
                <w:szCs w:val="20"/>
              </w:rPr>
              <w:t>13</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94C06" w14:textId="77777777" w:rsidR="00885640" w:rsidRPr="001E3A0E" w:rsidRDefault="00885640" w:rsidP="00885640">
            <w:pPr>
              <w:rPr>
                <w:szCs w:val="20"/>
              </w:rPr>
            </w:pPr>
            <w:r w:rsidRPr="001E3A0E">
              <w:rPr>
                <w:noProof/>
                <w:szCs w:val="20"/>
              </w:rPr>
              <w:t>Mitnitski et al. (2012)</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8FF3" w14:textId="77777777" w:rsidR="00885640" w:rsidRPr="001E3A0E" w:rsidRDefault="00885640" w:rsidP="00885640">
            <w:pPr>
              <w:rPr>
                <w:szCs w:val="20"/>
              </w:rPr>
            </w:pPr>
            <w:r w:rsidRPr="001E3A0E">
              <w:rPr>
                <w:szCs w:val="20"/>
              </w:rPr>
              <w:t>Canada: Canadian National Population and Health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03DD" w14:textId="77777777" w:rsidR="00885640" w:rsidRPr="001E3A0E" w:rsidRDefault="00885640" w:rsidP="00885640">
            <w:pPr>
              <w:rPr>
                <w:szCs w:val="20"/>
              </w:rPr>
            </w:pPr>
            <w:r w:rsidRPr="001E3A0E">
              <w:rPr>
                <w:szCs w:val="20"/>
              </w:rPr>
              <w:t>4333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2407" w14:textId="77777777" w:rsidR="00885640" w:rsidRPr="001E3A0E" w:rsidRDefault="00885640" w:rsidP="00885640">
            <w:pPr>
              <w:rPr>
                <w:szCs w:val="20"/>
              </w:rPr>
            </w:pPr>
            <w:r w:rsidRPr="001E3A0E">
              <w:rPr>
                <w:szCs w:val="20"/>
              </w:rPr>
              <w:t>68.4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0C38" w14:textId="77777777" w:rsidR="00885640" w:rsidRPr="001E3A0E" w:rsidRDefault="00885640" w:rsidP="00885640">
            <w:pPr>
              <w:rPr>
                <w:szCs w:val="20"/>
              </w:rPr>
            </w:pPr>
            <w:r w:rsidRPr="001E3A0E">
              <w:rPr>
                <w:szCs w:val="20"/>
              </w:rPr>
              <w:t>58.8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7493" w14:textId="77777777" w:rsidR="00885640" w:rsidRPr="001E3A0E" w:rsidRDefault="00885640" w:rsidP="00885640">
            <w:pPr>
              <w:rPr>
                <w:szCs w:val="20"/>
              </w:rPr>
            </w:pPr>
            <w:r w:rsidRPr="001E3A0E">
              <w:rPr>
                <w:szCs w:val="20"/>
              </w:rPr>
              <w:t>1994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CFAB" w14:textId="77777777" w:rsidR="00885640" w:rsidRPr="001E3A0E" w:rsidRDefault="00885640" w:rsidP="00885640">
            <w:pPr>
              <w:rPr>
                <w:szCs w:val="20"/>
              </w:rPr>
            </w:pPr>
            <w:r w:rsidRPr="001E3A0E">
              <w:rPr>
                <w:szCs w:val="20"/>
              </w:rPr>
              <w:t>12 years (every 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1A9A9" w14:textId="77777777" w:rsidR="00885640" w:rsidRPr="001E3A0E" w:rsidRDefault="00885640" w:rsidP="00885640">
            <w:pPr>
              <w:rPr>
                <w:szCs w:val="20"/>
              </w:rPr>
            </w:pPr>
            <w:r w:rsidRPr="001E3A0E">
              <w:rPr>
                <w:szCs w:val="20"/>
              </w:rPr>
              <w:t>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B0BA" w14:textId="77777777" w:rsidR="00885640" w:rsidRPr="001E3A0E" w:rsidRDefault="00885640" w:rsidP="00885640">
            <w:pPr>
              <w:rPr>
                <w:szCs w:val="20"/>
              </w:rPr>
            </w:pPr>
            <w:r w:rsidRPr="001E3A0E">
              <w:rPr>
                <w:szCs w:val="20"/>
              </w:rPr>
              <w:t>NR</w:t>
            </w:r>
          </w:p>
        </w:tc>
      </w:tr>
      <w:tr w:rsidR="00885640" w:rsidRPr="001E3A0E" w14:paraId="20CF063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CEA037B" w14:textId="77777777" w:rsidR="00885640" w:rsidRPr="001E3A0E" w:rsidRDefault="00885640" w:rsidP="00885640">
            <w:pPr>
              <w:rPr>
                <w:szCs w:val="20"/>
              </w:rPr>
            </w:pPr>
            <w:r w:rsidRPr="001E3A0E">
              <w:rPr>
                <w:szCs w:val="20"/>
              </w:rPr>
              <w:t>14</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794C" w14:textId="77777777" w:rsidR="00885640" w:rsidRPr="001E3A0E" w:rsidRDefault="00885640" w:rsidP="00885640">
            <w:pPr>
              <w:rPr>
                <w:szCs w:val="20"/>
              </w:rPr>
            </w:pPr>
            <w:r w:rsidRPr="001E3A0E">
              <w:rPr>
                <w:noProof/>
                <w:szCs w:val="20"/>
              </w:rPr>
              <w:t>Rockwood et al. (2007)</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E3CF1" w14:textId="77777777" w:rsidR="00885640" w:rsidRPr="001E3A0E" w:rsidRDefault="00885640" w:rsidP="00885640">
            <w:pPr>
              <w:rPr>
                <w:szCs w:val="20"/>
              </w:rPr>
            </w:pPr>
            <w:r w:rsidRPr="001E3A0E">
              <w:rPr>
                <w:szCs w:val="20"/>
              </w:rPr>
              <w:t>Canada: Canadian Study of Health and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4A558" w14:textId="77777777" w:rsidR="00885640" w:rsidRPr="001E3A0E" w:rsidRDefault="00885640" w:rsidP="00885640">
            <w:pPr>
              <w:rPr>
                <w:szCs w:val="20"/>
              </w:rPr>
            </w:pPr>
            <w:r w:rsidRPr="001E3A0E">
              <w:rPr>
                <w:szCs w:val="20"/>
              </w:rPr>
              <w:t>2305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7F8DC" w14:textId="77777777" w:rsidR="00885640" w:rsidRPr="001E3A0E" w:rsidRDefault="00885640" w:rsidP="00885640">
            <w:pPr>
              <w:rPr>
                <w:szCs w:val="20"/>
              </w:rPr>
            </w:pPr>
            <w:r w:rsidRPr="001E3A0E">
              <w:rPr>
                <w:szCs w:val="20"/>
              </w:rPr>
              <w:t>73.4 (69 - 109)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2EC3C" w14:textId="77777777" w:rsidR="00885640" w:rsidRPr="001E3A0E" w:rsidRDefault="00885640" w:rsidP="00885640">
            <w:pPr>
              <w:rPr>
                <w:szCs w:val="20"/>
              </w:rPr>
            </w:pPr>
            <w:r w:rsidRPr="001E3A0E">
              <w:rPr>
                <w:szCs w:val="20"/>
              </w:rPr>
              <w:t>53.1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D8B3E" w14:textId="77777777" w:rsidR="00885640" w:rsidRPr="001E3A0E" w:rsidRDefault="00885640" w:rsidP="00885640">
            <w:pPr>
              <w:rPr>
                <w:szCs w:val="20"/>
              </w:rPr>
            </w:pPr>
            <w:r w:rsidRPr="001E3A0E">
              <w:rPr>
                <w:szCs w:val="20"/>
              </w:rPr>
              <w:t>1990-1991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3B45F"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7B40" w14:textId="77777777" w:rsidR="00885640" w:rsidRPr="001E3A0E" w:rsidRDefault="00885640" w:rsidP="00885640">
            <w:pPr>
              <w:rPr>
                <w:szCs w:val="20"/>
              </w:rPr>
            </w:pPr>
            <w:r w:rsidRPr="001E3A0E">
              <w:rPr>
                <w:szCs w:val="20"/>
              </w:rPr>
              <w:t>70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41ED1" w14:textId="77777777" w:rsidR="00885640" w:rsidRPr="001E3A0E" w:rsidRDefault="00885640" w:rsidP="00885640">
            <w:pPr>
              <w:rPr>
                <w:szCs w:val="20"/>
              </w:rPr>
            </w:pPr>
            <w:r w:rsidRPr="001E3A0E">
              <w:rPr>
                <w:szCs w:val="20"/>
              </w:rPr>
              <w:t xml:space="preserve">Non-frail (FI&lt;0.25); </w:t>
            </w:r>
            <w:r w:rsidRPr="001E3A0E">
              <w:rPr>
                <w:szCs w:val="20"/>
              </w:rPr>
              <w:br/>
              <w:t>Frail (FI &gt;= 0.25)</w:t>
            </w:r>
          </w:p>
        </w:tc>
      </w:tr>
      <w:tr w:rsidR="00885640" w:rsidRPr="001E3A0E" w14:paraId="4634E63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12EB1CB" w14:textId="77777777" w:rsidR="00885640" w:rsidRPr="001E3A0E" w:rsidRDefault="00885640" w:rsidP="00885640">
            <w:pPr>
              <w:rPr>
                <w:szCs w:val="20"/>
              </w:rPr>
            </w:pPr>
            <w:r w:rsidRPr="001E3A0E">
              <w:rPr>
                <w:szCs w:val="20"/>
              </w:rPr>
              <w:t>15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809A" w14:textId="77777777" w:rsidR="00885640" w:rsidRPr="001E3A0E" w:rsidRDefault="00885640" w:rsidP="00885640">
            <w:pPr>
              <w:rPr>
                <w:szCs w:val="20"/>
              </w:rPr>
            </w:pPr>
            <w:r w:rsidRPr="001E3A0E">
              <w:rPr>
                <w:noProof/>
                <w:szCs w:val="20"/>
              </w:rPr>
              <w:t>Song et al. (2010)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D7534" w14:textId="77777777" w:rsidR="00885640" w:rsidRPr="001E3A0E" w:rsidRDefault="00885640" w:rsidP="00885640">
            <w:pPr>
              <w:rPr>
                <w:szCs w:val="20"/>
              </w:rPr>
            </w:pPr>
            <w:r w:rsidRPr="001E3A0E">
              <w:rPr>
                <w:szCs w:val="20"/>
              </w:rPr>
              <w:t>Canada: National Population and Health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1CE4" w14:textId="77777777" w:rsidR="00885640" w:rsidRPr="001E3A0E" w:rsidRDefault="00885640" w:rsidP="00885640">
            <w:pPr>
              <w:rPr>
                <w:szCs w:val="20"/>
              </w:rPr>
            </w:pPr>
            <w:r w:rsidRPr="001E3A0E">
              <w:rPr>
                <w:szCs w:val="20"/>
              </w:rPr>
              <w:t>2740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F17DE" w14:textId="77777777" w:rsidR="00885640" w:rsidRPr="001E3A0E" w:rsidRDefault="00885640" w:rsidP="00885640">
            <w:pPr>
              <w:rPr>
                <w:szCs w:val="20"/>
              </w:rPr>
            </w:pPr>
            <w:r w:rsidRPr="001E3A0E">
              <w:rPr>
                <w:szCs w:val="20"/>
              </w:rPr>
              <w:t>74.0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6C99" w14:textId="77777777" w:rsidR="00885640" w:rsidRPr="001E3A0E" w:rsidRDefault="00885640" w:rsidP="00885640">
            <w:pPr>
              <w:rPr>
                <w:szCs w:val="20"/>
              </w:rPr>
            </w:pPr>
            <w:r w:rsidRPr="001E3A0E">
              <w:rPr>
                <w:szCs w:val="20"/>
              </w:rPr>
              <w:t>60.8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A1854" w14:textId="77777777" w:rsidR="00885640" w:rsidRPr="001E3A0E" w:rsidRDefault="00885640" w:rsidP="00885640">
            <w:pPr>
              <w:rPr>
                <w:szCs w:val="20"/>
              </w:rPr>
            </w:pPr>
            <w:r w:rsidRPr="001E3A0E">
              <w:rPr>
                <w:szCs w:val="20"/>
              </w:rPr>
              <w:t>1994-1995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413FA"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1FE8"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7E910" w14:textId="77777777" w:rsidR="00885640" w:rsidRPr="001E3A0E" w:rsidRDefault="00885640" w:rsidP="00885640">
            <w:pPr>
              <w:rPr>
                <w:szCs w:val="20"/>
              </w:rPr>
            </w:pPr>
            <w:r w:rsidRPr="001E3A0E">
              <w:rPr>
                <w:szCs w:val="20"/>
              </w:rPr>
              <w:t xml:space="preserve">Non-frail (FI&lt;=0.08); </w:t>
            </w:r>
            <w:r w:rsidRPr="001E3A0E">
              <w:rPr>
                <w:szCs w:val="20"/>
              </w:rPr>
              <w:br/>
              <w:t>Pre-frail (0.08&lt;FI&lt;0.25);</w:t>
            </w:r>
            <w:r w:rsidRPr="001E3A0E">
              <w:rPr>
                <w:szCs w:val="20"/>
              </w:rPr>
              <w:br/>
              <w:t>Frail (FI &gt;= 0.25)</w:t>
            </w:r>
          </w:p>
        </w:tc>
      </w:tr>
      <w:tr w:rsidR="00885640" w:rsidRPr="001E3A0E" w14:paraId="1C249BB1"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671099F" w14:textId="77777777" w:rsidR="00885640" w:rsidRPr="001E3A0E" w:rsidRDefault="00885640" w:rsidP="00885640">
            <w:pPr>
              <w:rPr>
                <w:szCs w:val="20"/>
              </w:rPr>
            </w:pPr>
            <w:r w:rsidRPr="001E3A0E">
              <w:rPr>
                <w:szCs w:val="20"/>
              </w:rPr>
              <w:t>16</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0EB2" w14:textId="77777777" w:rsidR="00885640" w:rsidRPr="001E3A0E" w:rsidRDefault="00885640" w:rsidP="00885640">
            <w:pPr>
              <w:rPr>
                <w:szCs w:val="20"/>
              </w:rPr>
            </w:pPr>
            <w:r w:rsidRPr="001E3A0E">
              <w:rPr>
                <w:noProof/>
                <w:szCs w:val="20"/>
              </w:rPr>
              <w:t>Zimmer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BF46" w14:textId="77777777" w:rsidR="00885640" w:rsidRPr="001E3A0E" w:rsidRDefault="00885640" w:rsidP="00885640">
            <w:pPr>
              <w:rPr>
                <w:szCs w:val="20"/>
              </w:rPr>
            </w:pPr>
            <w:r w:rsidRPr="001E3A0E">
              <w:rPr>
                <w:szCs w:val="20"/>
              </w:rPr>
              <w:t>Canada: Health and Retirement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99687" w14:textId="77777777" w:rsidR="00885640" w:rsidRPr="001E3A0E" w:rsidRDefault="00885640" w:rsidP="00885640">
            <w:pPr>
              <w:rPr>
                <w:szCs w:val="20"/>
              </w:rPr>
            </w:pPr>
            <w:r w:rsidRPr="001E3A0E">
              <w:rPr>
                <w:szCs w:val="20"/>
              </w:rPr>
              <w:t>17115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0986D" w14:textId="77777777" w:rsidR="00885640" w:rsidRPr="001E3A0E" w:rsidRDefault="00885640" w:rsidP="00885640">
            <w:pPr>
              <w:rPr>
                <w:szCs w:val="20"/>
              </w:rPr>
            </w:pPr>
            <w:r w:rsidRPr="001E3A0E">
              <w:rPr>
                <w:szCs w:val="20"/>
              </w:rPr>
              <w:t>NR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7033" w14:textId="77777777" w:rsidR="00885640" w:rsidRPr="001E3A0E" w:rsidRDefault="00885640" w:rsidP="00885640">
            <w:pPr>
              <w:rPr>
                <w:szCs w:val="20"/>
              </w:rPr>
            </w:pPr>
            <w:r w:rsidRPr="001E3A0E">
              <w:rPr>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563B"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D917"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64862" w14:textId="77777777" w:rsidR="00885640" w:rsidRPr="001E3A0E" w:rsidRDefault="00885640" w:rsidP="00885640">
            <w:pPr>
              <w:rPr>
                <w:szCs w:val="20"/>
              </w:rPr>
            </w:pPr>
            <w:r w:rsidRPr="001E3A0E">
              <w:rPr>
                <w:szCs w:val="20"/>
              </w:rPr>
              <w:t>59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3A959" w14:textId="77777777" w:rsidR="00885640" w:rsidRPr="001E3A0E" w:rsidRDefault="00885640" w:rsidP="00885640">
            <w:pPr>
              <w:rPr>
                <w:szCs w:val="20"/>
              </w:rPr>
            </w:pPr>
            <w:r w:rsidRPr="001E3A0E">
              <w:rPr>
                <w:szCs w:val="20"/>
              </w:rPr>
              <w:t xml:space="preserve">Frailty free (FI&lt;=0.19); </w:t>
            </w:r>
            <w:r w:rsidRPr="001E3A0E">
              <w:rPr>
                <w:szCs w:val="20"/>
              </w:rPr>
              <w:br/>
              <w:t>Mild frailty (0.19&lt;FI&lt;=0.39);</w:t>
            </w:r>
            <w:r w:rsidRPr="001E3A0E">
              <w:rPr>
                <w:szCs w:val="20"/>
              </w:rPr>
              <w:br/>
              <w:t>Severe frailty (FI&gt;0.39)</w:t>
            </w:r>
          </w:p>
        </w:tc>
      </w:tr>
      <w:tr w:rsidR="00885640" w:rsidRPr="001E3A0E" w14:paraId="554C5DFD"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3759F68" w14:textId="77777777" w:rsidR="00885640" w:rsidRPr="001E3A0E" w:rsidRDefault="00885640" w:rsidP="00885640">
            <w:pPr>
              <w:rPr>
                <w:szCs w:val="20"/>
              </w:rPr>
            </w:pPr>
            <w:r w:rsidRPr="001E3A0E">
              <w:rPr>
                <w:szCs w:val="20"/>
              </w:rPr>
              <w:t>17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124E9" w14:textId="77777777" w:rsidR="00885640" w:rsidRPr="001E3A0E" w:rsidRDefault="00885640" w:rsidP="00885640">
            <w:pPr>
              <w:rPr>
                <w:noProof/>
                <w:szCs w:val="20"/>
              </w:rPr>
            </w:pPr>
            <w:r w:rsidRPr="001E3A0E">
              <w:rPr>
                <w:noProof/>
                <w:szCs w:val="20"/>
              </w:rPr>
              <w:t xml:space="preserve">Bohn et al. </w:t>
            </w:r>
          </w:p>
          <w:p w14:paraId="19A1C71A" w14:textId="77777777" w:rsidR="00885640" w:rsidRPr="001E3A0E" w:rsidRDefault="00885640" w:rsidP="00885640">
            <w:pPr>
              <w:rPr>
                <w:szCs w:val="20"/>
              </w:rPr>
            </w:pPr>
            <w:r w:rsidRPr="001E3A0E">
              <w:rPr>
                <w:noProof/>
                <w:szCs w:val="20"/>
              </w:rPr>
              <w:t>(2021)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FCB8" w14:textId="77777777" w:rsidR="00885640" w:rsidRPr="001E3A0E" w:rsidRDefault="00885640" w:rsidP="00885640">
            <w:pPr>
              <w:rPr>
                <w:szCs w:val="20"/>
              </w:rPr>
            </w:pPr>
            <w:r w:rsidRPr="001E3A0E">
              <w:rPr>
                <w:szCs w:val="20"/>
              </w:rPr>
              <w:t>Canada: Victoria Longitudinal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1B99" w14:textId="77777777" w:rsidR="00885640" w:rsidRPr="001E3A0E" w:rsidRDefault="00885640" w:rsidP="00885640">
            <w:pPr>
              <w:rPr>
                <w:szCs w:val="20"/>
              </w:rPr>
            </w:pPr>
            <w:r w:rsidRPr="001E3A0E">
              <w:rPr>
                <w:szCs w:val="20"/>
              </w:rPr>
              <w:t>649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2A70F" w14:textId="77777777" w:rsidR="00885640" w:rsidRPr="001E3A0E" w:rsidRDefault="00885640" w:rsidP="00885640">
            <w:pPr>
              <w:rPr>
                <w:szCs w:val="20"/>
              </w:rPr>
            </w:pPr>
            <w:r w:rsidRPr="001E3A0E">
              <w:rPr>
                <w:szCs w:val="20"/>
              </w:rPr>
              <w:t>70.6 (53 - 95)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FA246" w14:textId="77777777" w:rsidR="00885640" w:rsidRPr="001E3A0E" w:rsidRDefault="00885640" w:rsidP="00885640">
            <w:pPr>
              <w:rPr>
                <w:szCs w:val="20"/>
              </w:rPr>
            </w:pPr>
            <w:r w:rsidRPr="001E3A0E">
              <w:rPr>
                <w:szCs w:val="20"/>
              </w:rPr>
              <w:t>66.0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1744"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6829D"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DA4FE" w14:textId="77777777" w:rsidR="00885640" w:rsidRPr="001E3A0E" w:rsidRDefault="00885640" w:rsidP="00885640">
            <w:pPr>
              <w:rPr>
                <w:szCs w:val="20"/>
              </w:rPr>
            </w:pPr>
            <w:r w:rsidRPr="001E3A0E">
              <w:rPr>
                <w:szCs w:val="20"/>
              </w:rPr>
              <w:t>54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F6397" w14:textId="77777777" w:rsidR="00885640" w:rsidRPr="001E3A0E" w:rsidRDefault="00885640" w:rsidP="00885640">
            <w:pPr>
              <w:rPr>
                <w:szCs w:val="20"/>
              </w:rPr>
            </w:pPr>
            <w:r w:rsidRPr="001E3A0E">
              <w:rPr>
                <w:szCs w:val="20"/>
              </w:rPr>
              <w:t>NR</w:t>
            </w:r>
          </w:p>
        </w:tc>
      </w:tr>
      <w:tr w:rsidR="00885640" w:rsidRPr="001E3A0E" w14:paraId="4AC0F382"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DBE8D59" w14:textId="77777777" w:rsidR="00885640" w:rsidRPr="001E3A0E" w:rsidRDefault="00885640" w:rsidP="00885640">
            <w:pPr>
              <w:rPr>
                <w:szCs w:val="20"/>
              </w:rPr>
            </w:pPr>
            <w:r w:rsidRPr="001E3A0E">
              <w:rPr>
                <w:szCs w:val="20"/>
              </w:rPr>
              <w:t>18</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7263" w14:textId="77777777" w:rsidR="00885640" w:rsidRPr="001E3A0E" w:rsidRDefault="00885640" w:rsidP="00885640">
            <w:pPr>
              <w:rPr>
                <w:szCs w:val="20"/>
              </w:rPr>
            </w:pPr>
            <w:r w:rsidRPr="001E3A0E">
              <w:rPr>
                <w:noProof/>
                <w:szCs w:val="20"/>
              </w:rPr>
              <w:t>Mitnitski et al., (2006)</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1EE6" w14:textId="77777777" w:rsidR="00885640" w:rsidRPr="001E3A0E" w:rsidRDefault="00885640" w:rsidP="00885640">
            <w:pPr>
              <w:rPr>
                <w:szCs w:val="20"/>
              </w:rPr>
            </w:pPr>
            <w:r w:rsidRPr="001E3A0E">
              <w:rPr>
                <w:szCs w:val="20"/>
              </w:rPr>
              <w:t>Canada: Canadian Study of Health and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43CB6" w14:textId="77777777" w:rsidR="00885640" w:rsidRPr="001E3A0E" w:rsidRDefault="00885640" w:rsidP="00885640">
            <w:pPr>
              <w:rPr>
                <w:szCs w:val="20"/>
              </w:rPr>
            </w:pPr>
            <w:r w:rsidRPr="001E3A0E">
              <w:rPr>
                <w:szCs w:val="20"/>
              </w:rPr>
              <w:t>5586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A062E" w14:textId="77777777" w:rsidR="00885640" w:rsidRPr="001E3A0E" w:rsidRDefault="00885640" w:rsidP="00885640">
            <w:pPr>
              <w:rPr>
                <w:szCs w:val="20"/>
              </w:rPr>
            </w:pPr>
            <w:r w:rsidRPr="001E3A0E">
              <w:rPr>
                <w:szCs w:val="20"/>
              </w:rPr>
              <w:t>NR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FA7D" w14:textId="77777777" w:rsidR="00885640" w:rsidRPr="001E3A0E" w:rsidRDefault="00885640" w:rsidP="00885640">
            <w:pPr>
              <w:rPr>
                <w:szCs w:val="20"/>
              </w:rPr>
            </w:pPr>
            <w:r w:rsidRPr="001E3A0E">
              <w:rPr>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556EA" w14:textId="77777777" w:rsidR="00885640" w:rsidRPr="001E3A0E" w:rsidRDefault="00885640" w:rsidP="00885640">
            <w:pPr>
              <w:rPr>
                <w:szCs w:val="20"/>
              </w:rPr>
            </w:pPr>
            <w:r w:rsidRPr="001E3A0E">
              <w:rPr>
                <w:szCs w:val="20"/>
              </w:rPr>
              <w:t>1990-1991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4301E" w14:textId="77777777" w:rsidR="00885640" w:rsidRPr="001E3A0E" w:rsidRDefault="00885640" w:rsidP="00885640">
            <w:pPr>
              <w:rPr>
                <w:szCs w:val="20"/>
              </w:rPr>
            </w:pPr>
            <w:r w:rsidRPr="001E3A0E">
              <w:rPr>
                <w:szCs w:val="20"/>
              </w:rPr>
              <w:t>every 5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6B1F6" w14:textId="77777777" w:rsidR="00885640" w:rsidRPr="001E3A0E" w:rsidRDefault="00885640" w:rsidP="00885640">
            <w:pPr>
              <w:rPr>
                <w:szCs w:val="20"/>
              </w:rPr>
            </w:pPr>
            <w:r w:rsidRPr="001E3A0E">
              <w:rPr>
                <w:szCs w:val="20"/>
              </w:rPr>
              <w:t>31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5F3A7" w14:textId="77777777" w:rsidR="00885640" w:rsidRPr="001E3A0E" w:rsidRDefault="00885640" w:rsidP="00885640">
            <w:pPr>
              <w:rPr>
                <w:szCs w:val="20"/>
              </w:rPr>
            </w:pPr>
            <w:r w:rsidRPr="001E3A0E">
              <w:rPr>
                <w:szCs w:val="20"/>
              </w:rPr>
              <w:t>NR</w:t>
            </w:r>
          </w:p>
        </w:tc>
      </w:tr>
      <w:tr w:rsidR="00885640" w:rsidRPr="001E3A0E" w14:paraId="249AC8B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74A91A7" w14:textId="77777777" w:rsidR="00885640" w:rsidRPr="001E3A0E" w:rsidRDefault="00885640" w:rsidP="00885640">
            <w:pPr>
              <w:rPr>
                <w:szCs w:val="20"/>
              </w:rPr>
            </w:pPr>
            <w:r w:rsidRPr="001E3A0E">
              <w:rPr>
                <w:szCs w:val="20"/>
              </w:rPr>
              <w:t>19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292D4" w14:textId="77777777" w:rsidR="00885640" w:rsidRPr="001E3A0E" w:rsidRDefault="00885640" w:rsidP="00885640">
            <w:pPr>
              <w:rPr>
                <w:szCs w:val="20"/>
              </w:rPr>
            </w:pPr>
            <w:r w:rsidRPr="001E3A0E">
              <w:rPr>
                <w:noProof/>
                <w:szCs w:val="20"/>
              </w:rPr>
              <w:t>Hubbard et al., (2009)</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9CB7" w14:textId="77777777" w:rsidR="00885640" w:rsidRPr="001E3A0E" w:rsidRDefault="00885640" w:rsidP="00885640">
            <w:pPr>
              <w:rPr>
                <w:szCs w:val="20"/>
              </w:rPr>
            </w:pPr>
            <w:r w:rsidRPr="001E3A0E">
              <w:rPr>
                <w:szCs w:val="20"/>
              </w:rPr>
              <w:t>Canada: The Canadian Study of Health and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4002F" w14:textId="77777777" w:rsidR="00885640" w:rsidRPr="001E3A0E" w:rsidRDefault="00885640" w:rsidP="00885640">
            <w:pPr>
              <w:rPr>
                <w:szCs w:val="20"/>
              </w:rPr>
            </w:pPr>
            <w:r w:rsidRPr="001E3A0E">
              <w:rPr>
                <w:szCs w:val="20"/>
              </w:rPr>
              <w:t>9008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7CD88" w14:textId="77777777" w:rsidR="00885640" w:rsidRPr="001E3A0E" w:rsidRDefault="00885640" w:rsidP="00885640">
            <w:pPr>
              <w:rPr>
                <w:szCs w:val="20"/>
              </w:rPr>
            </w:pPr>
            <w:r w:rsidRPr="001E3A0E">
              <w:rPr>
                <w:szCs w:val="20"/>
              </w:rPr>
              <w:t>NR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4DF07" w14:textId="77777777" w:rsidR="00885640" w:rsidRPr="001E3A0E" w:rsidRDefault="00885640" w:rsidP="00885640">
            <w:pPr>
              <w:rPr>
                <w:szCs w:val="20"/>
              </w:rPr>
            </w:pPr>
            <w:r w:rsidRPr="001E3A0E">
              <w:rPr>
                <w:szCs w:val="20"/>
              </w:rPr>
              <w:t>59.5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CFCDE" w14:textId="77777777" w:rsidR="00885640" w:rsidRPr="001E3A0E" w:rsidRDefault="00885640" w:rsidP="00885640">
            <w:pPr>
              <w:rPr>
                <w:szCs w:val="20"/>
              </w:rPr>
            </w:pPr>
            <w:r w:rsidRPr="001E3A0E">
              <w:rPr>
                <w:szCs w:val="20"/>
              </w:rPr>
              <w:t>1991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D84A5"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B064" w14:textId="77777777" w:rsidR="00885640" w:rsidRPr="001E3A0E" w:rsidRDefault="00885640" w:rsidP="00885640">
            <w:pPr>
              <w:rPr>
                <w:szCs w:val="20"/>
              </w:rPr>
            </w:pPr>
            <w:r w:rsidRPr="001E3A0E">
              <w:rPr>
                <w:szCs w:val="20"/>
              </w:rPr>
              <w:t>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DDB2" w14:textId="77777777" w:rsidR="00885640" w:rsidRPr="001E3A0E" w:rsidRDefault="00885640" w:rsidP="00885640">
            <w:pPr>
              <w:rPr>
                <w:szCs w:val="20"/>
              </w:rPr>
            </w:pPr>
            <w:r w:rsidRPr="001E3A0E">
              <w:rPr>
                <w:szCs w:val="20"/>
              </w:rPr>
              <w:t>NR</w:t>
            </w:r>
          </w:p>
        </w:tc>
      </w:tr>
      <w:tr w:rsidR="00885640" w:rsidRPr="001E3A0E" w14:paraId="4433EC8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111C54D" w14:textId="77777777" w:rsidR="00885640" w:rsidRPr="001E3A0E" w:rsidRDefault="00885640" w:rsidP="00885640">
            <w:pPr>
              <w:rPr>
                <w:szCs w:val="20"/>
              </w:rPr>
            </w:pPr>
            <w:r w:rsidRPr="001E3A0E">
              <w:rPr>
                <w:szCs w:val="20"/>
              </w:rPr>
              <w:t>20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B121D" w14:textId="77777777" w:rsidR="00885640" w:rsidRPr="001E3A0E" w:rsidRDefault="00885640" w:rsidP="00885640">
            <w:pPr>
              <w:rPr>
                <w:szCs w:val="20"/>
                <w:highlight w:val="red"/>
              </w:rPr>
            </w:pPr>
          </w:p>
          <w:p w14:paraId="66828EAA" w14:textId="77777777" w:rsidR="00885640" w:rsidRPr="001E3A0E" w:rsidRDefault="00885640" w:rsidP="00885640">
            <w:pPr>
              <w:rPr>
                <w:szCs w:val="20"/>
              </w:rPr>
            </w:pPr>
            <w:r w:rsidRPr="001E3A0E">
              <w:rPr>
                <w:noProof/>
                <w:szCs w:val="20"/>
              </w:rPr>
              <w:t>Hill et al. (2021)</w:t>
            </w:r>
          </w:p>
          <w:p w14:paraId="39A80F70" w14:textId="77777777" w:rsidR="00885640" w:rsidRPr="001E3A0E" w:rsidRDefault="00885640" w:rsidP="00885640">
            <w:pPr>
              <w:rPr>
                <w:noProof/>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519F2" w14:textId="77777777" w:rsidR="00885640" w:rsidRPr="001E3A0E" w:rsidRDefault="00885640" w:rsidP="00885640">
            <w:pPr>
              <w:rPr>
                <w:szCs w:val="20"/>
              </w:rPr>
            </w:pPr>
            <w:r w:rsidRPr="001E3A0E">
              <w:rPr>
                <w:szCs w:val="20"/>
              </w:rPr>
              <w:t>Canada</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14615" w14:textId="77777777" w:rsidR="00885640" w:rsidRPr="001E3A0E" w:rsidRDefault="00885640" w:rsidP="00885640">
            <w:pPr>
              <w:rPr>
                <w:szCs w:val="20"/>
              </w:rPr>
            </w:pPr>
            <w:r w:rsidRPr="001E3A0E">
              <w:rPr>
                <w:szCs w:val="20"/>
              </w:rPr>
              <w:t>368798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867F" w14:textId="77777777" w:rsidR="00885640" w:rsidRPr="001E3A0E" w:rsidRDefault="00885640" w:rsidP="00885640">
            <w:pPr>
              <w:rPr>
                <w:szCs w:val="20"/>
              </w:rPr>
            </w:pPr>
            <w:r w:rsidRPr="001E3A0E">
              <w:rPr>
                <w:szCs w:val="20"/>
              </w:rPr>
              <w:t>74.2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7B13" w14:textId="77777777" w:rsidR="00885640" w:rsidRPr="001E3A0E" w:rsidRDefault="00885640" w:rsidP="00885640">
            <w:pPr>
              <w:rPr>
                <w:szCs w:val="20"/>
              </w:rPr>
            </w:pPr>
            <w:r w:rsidRPr="001E3A0E">
              <w:rPr>
                <w:szCs w:val="20"/>
              </w:rPr>
              <w:t>46.7%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C3F93" w14:textId="77777777" w:rsidR="00885640" w:rsidRPr="001E3A0E" w:rsidRDefault="00885640" w:rsidP="00885640">
            <w:pPr>
              <w:rPr>
                <w:szCs w:val="20"/>
              </w:rPr>
            </w:pPr>
            <w:r w:rsidRPr="001E3A0E">
              <w:rPr>
                <w:szCs w:val="20"/>
              </w:rPr>
              <w:t>2002-2015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FC2AB" w14:textId="77777777" w:rsidR="00885640" w:rsidRPr="001E3A0E" w:rsidRDefault="00885640" w:rsidP="00885640">
            <w:pPr>
              <w:rPr>
                <w:szCs w:val="20"/>
              </w:rPr>
            </w:pPr>
            <w:r w:rsidRPr="001E3A0E">
              <w:rPr>
                <w:szCs w:val="20"/>
              </w:rPr>
              <w:t>every year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BF2E9" w14:textId="77777777" w:rsidR="00885640" w:rsidRPr="001E3A0E" w:rsidRDefault="00885640" w:rsidP="00885640">
            <w:pPr>
              <w:rPr>
                <w:szCs w:val="20"/>
              </w:rPr>
            </w:pPr>
            <w:r w:rsidRPr="001E3A0E">
              <w:rPr>
                <w:szCs w:val="20"/>
              </w:rPr>
              <w:t>11 clusters of conditions</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2B7D9" w14:textId="77777777" w:rsidR="00885640" w:rsidRPr="001E3A0E" w:rsidRDefault="00885640" w:rsidP="00885640">
            <w:pPr>
              <w:rPr>
                <w:szCs w:val="20"/>
              </w:rPr>
            </w:pPr>
            <w:r w:rsidRPr="001E3A0E">
              <w:rPr>
                <w:szCs w:val="20"/>
              </w:rPr>
              <w:t>NR</w:t>
            </w:r>
          </w:p>
        </w:tc>
      </w:tr>
      <w:tr w:rsidR="00885640" w:rsidRPr="001E3A0E" w14:paraId="715FF41B"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706CCA5" w14:textId="77777777" w:rsidR="00885640" w:rsidRPr="001E3A0E" w:rsidRDefault="00885640" w:rsidP="00885640">
            <w:pPr>
              <w:rPr>
                <w:szCs w:val="20"/>
              </w:rPr>
            </w:pPr>
            <w:r w:rsidRPr="001E3A0E">
              <w:rPr>
                <w:szCs w:val="20"/>
              </w:rPr>
              <w:t>21</w:t>
            </w:r>
          </w:p>
          <w:p w14:paraId="7AE58D3C"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838F2" w14:textId="77777777" w:rsidR="00885640" w:rsidRPr="001E3A0E" w:rsidRDefault="00885640" w:rsidP="00885640">
            <w:pPr>
              <w:rPr>
                <w:szCs w:val="20"/>
              </w:rPr>
            </w:pPr>
            <w:r w:rsidRPr="001E3A0E">
              <w:rPr>
                <w:noProof/>
                <w:szCs w:val="20"/>
              </w:rPr>
              <w:t xml:space="preserve">Gale et al. (2017)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D8962"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C5CE6" w14:textId="77777777" w:rsidR="00885640" w:rsidRPr="001E3A0E" w:rsidRDefault="00885640" w:rsidP="00885640">
            <w:pPr>
              <w:rPr>
                <w:szCs w:val="20"/>
              </w:rPr>
            </w:pPr>
            <w:r w:rsidRPr="001E3A0E">
              <w:rPr>
                <w:szCs w:val="20"/>
              </w:rPr>
              <w:t>5314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DDC2" w14:textId="77777777" w:rsidR="00885640" w:rsidRPr="001E3A0E" w:rsidRDefault="00885640" w:rsidP="00885640">
            <w:pPr>
              <w:rPr>
                <w:szCs w:val="20"/>
              </w:rPr>
            </w:pPr>
            <w:r w:rsidRPr="001E3A0E">
              <w:rPr>
                <w:szCs w:val="20"/>
              </w:rPr>
              <w:t>70.0 (50 - 75)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6592" w14:textId="77777777" w:rsidR="00885640" w:rsidRPr="001E3A0E" w:rsidRDefault="00885640" w:rsidP="00885640">
            <w:pPr>
              <w:rPr>
                <w:szCs w:val="20"/>
              </w:rPr>
            </w:pPr>
            <w:r w:rsidRPr="001E3A0E">
              <w:rPr>
                <w:szCs w:val="20"/>
              </w:rPr>
              <w:t>54.4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62E3" w14:textId="77777777" w:rsidR="00885640" w:rsidRPr="001E3A0E" w:rsidRDefault="00885640" w:rsidP="00885640">
            <w:pPr>
              <w:rPr>
                <w:szCs w:val="20"/>
              </w:rPr>
            </w:pPr>
            <w:r w:rsidRPr="001E3A0E">
              <w:rPr>
                <w:szCs w:val="20"/>
              </w:rPr>
              <w:t>2010-2011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B77EE"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4BAA7" w14:textId="77777777" w:rsidR="00885640" w:rsidRPr="001E3A0E" w:rsidRDefault="00885640" w:rsidP="00885640">
            <w:pPr>
              <w:rPr>
                <w:szCs w:val="20"/>
              </w:rPr>
            </w:pPr>
            <w:r w:rsidRPr="001E3A0E">
              <w:rPr>
                <w:szCs w:val="20"/>
              </w:rPr>
              <w:t>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86AA" w14:textId="77777777" w:rsidR="00885640" w:rsidRPr="001E3A0E" w:rsidRDefault="00885640" w:rsidP="00885640">
            <w:pPr>
              <w:rPr>
                <w:szCs w:val="20"/>
              </w:rPr>
            </w:pPr>
            <w:r w:rsidRPr="001E3A0E">
              <w:rPr>
                <w:szCs w:val="20"/>
              </w:rPr>
              <w:t>NR</w:t>
            </w:r>
          </w:p>
        </w:tc>
      </w:tr>
      <w:tr w:rsidR="00885640" w:rsidRPr="001E3A0E" w14:paraId="2386DB09"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924B389" w14:textId="77777777" w:rsidR="00885640" w:rsidRPr="001E3A0E" w:rsidRDefault="00885640" w:rsidP="00885640">
            <w:pPr>
              <w:rPr>
                <w:szCs w:val="20"/>
              </w:rPr>
            </w:pPr>
            <w:r w:rsidRPr="001E3A0E">
              <w:rPr>
                <w:szCs w:val="20"/>
              </w:rPr>
              <w:t>22</w:t>
            </w:r>
          </w:p>
          <w:p w14:paraId="60084ED5"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526D5" w14:textId="77777777" w:rsidR="00885640" w:rsidRPr="001E3A0E" w:rsidRDefault="00885640" w:rsidP="00885640">
            <w:pPr>
              <w:rPr>
                <w:szCs w:val="20"/>
              </w:rPr>
            </w:pPr>
            <w:r w:rsidRPr="001E3A0E">
              <w:rPr>
                <w:noProof/>
                <w:szCs w:val="20"/>
              </w:rPr>
              <w:t>Gale et al. (2018)</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90F8"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960E5" w14:textId="77777777" w:rsidR="00885640" w:rsidRPr="001E3A0E" w:rsidRDefault="00885640" w:rsidP="00885640">
            <w:pPr>
              <w:rPr>
                <w:szCs w:val="20"/>
              </w:rPr>
            </w:pPr>
            <w:r w:rsidRPr="001E3A0E">
              <w:rPr>
                <w:szCs w:val="20"/>
              </w:rPr>
              <w:t>2817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71320" w14:textId="77777777" w:rsidR="00885640" w:rsidRPr="001E3A0E" w:rsidRDefault="00885640" w:rsidP="00885640">
            <w:pPr>
              <w:rPr>
                <w:szCs w:val="20"/>
              </w:rPr>
            </w:pPr>
            <w:r w:rsidRPr="001E3A0E">
              <w:rPr>
                <w:szCs w:val="20"/>
              </w:rPr>
              <w:t>69.3 (&gt;=60)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759C" w14:textId="77777777" w:rsidR="00885640" w:rsidRPr="001E3A0E" w:rsidRDefault="00885640" w:rsidP="00885640">
            <w:pPr>
              <w:rPr>
                <w:szCs w:val="20"/>
              </w:rPr>
            </w:pPr>
            <w:r w:rsidRPr="001E3A0E">
              <w:rPr>
                <w:szCs w:val="20"/>
              </w:rPr>
              <w:t>56.9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DCA5A" w14:textId="77777777" w:rsidR="00885640" w:rsidRPr="001E3A0E" w:rsidRDefault="00885640" w:rsidP="00885640">
            <w:pPr>
              <w:rPr>
                <w:szCs w:val="20"/>
              </w:rPr>
            </w:pPr>
            <w:r w:rsidRPr="001E3A0E">
              <w:rPr>
                <w:szCs w:val="20"/>
              </w:rPr>
              <w:t>2004-2012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9FA9" w14:textId="77777777" w:rsidR="00885640" w:rsidRPr="001E3A0E" w:rsidRDefault="00885640" w:rsidP="00885640">
            <w:pPr>
              <w:rPr>
                <w:szCs w:val="20"/>
              </w:rPr>
            </w:pPr>
            <w:r w:rsidRPr="001E3A0E">
              <w:rPr>
                <w:szCs w:val="20"/>
              </w:rPr>
              <w:t>Every two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1DC60" w14:textId="77777777" w:rsidR="00885640" w:rsidRPr="001E3A0E" w:rsidRDefault="00885640" w:rsidP="00885640">
            <w:pPr>
              <w:rPr>
                <w:szCs w:val="20"/>
              </w:rPr>
            </w:pPr>
            <w:r w:rsidRPr="001E3A0E">
              <w:rPr>
                <w:szCs w:val="20"/>
              </w:rPr>
              <w:t>52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41BD" w14:textId="77777777" w:rsidR="00885640" w:rsidRPr="001E3A0E" w:rsidRDefault="00885640" w:rsidP="00885640">
            <w:pPr>
              <w:rPr>
                <w:szCs w:val="20"/>
              </w:rPr>
            </w:pPr>
            <w:r w:rsidRPr="001E3A0E">
              <w:rPr>
                <w:szCs w:val="20"/>
              </w:rPr>
              <w:t>NR</w:t>
            </w:r>
          </w:p>
        </w:tc>
      </w:tr>
      <w:tr w:rsidR="00885640" w:rsidRPr="001E3A0E" w14:paraId="0E0FB4F6"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78DA6EA" w14:textId="77777777" w:rsidR="00885640" w:rsidRPr="001E3A0E" w:rsidRDefault="00885640" w:rsidP="00885640">
            <w:pPr>
              <w:rPr>
                <w:szCs w:val="20"/>
              </w:rPr>
            </w:pPr>
            <w:r w:rsidRPr="001E3A0E">
              <w:rPr>
                <w:szCs w:val="20"/>
              </w:rPr>
              <w:t>23</w:t>
            </w:r>
          </w:p>
          <w:p w14:paraId="60490CCA"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C7A8C" w14:textId="77777777" w:rsidR="00885640" w:rsidRPr="001E3A0E" w:rsidRDefault="00885640" w:rsidP="00885640">
            <w:pPr>
              <w:rPr>
                <w:szCs w:val="20"/>
              </w:rPr>
            </w:pPr>
            <w:r w:rsidRPr="001E3A0E">
              <w:rPr>
                <w:noProof/>
                <w:szCs w:val="20"/>
              </w:rPr>
              <w:t>Niederstrasser et al. (2019)</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62C8B"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A8AF" w14:textId="77777777" w:rsidR="00885640" w:rsidRPr="001E3A0E" w:rsidRDefault="00885640" w:rsidP="00885640">
            <w:pPr>
              <w:rPr>
                <w:szCs w:val="20"/>
              </w:rPr>
            </w:pPr>
            <w:r w:rsidRPr="001E3A0E">
              <w:rPr>
                <w:szCs w:val="20"/>
              </w:rPr>
              <w:t>8780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F39C2" w14:textId="77777777" w:rsidR="00885640" w:rsidRPr="001E3A0E" w:rsidRDefault="00885640" w:rsidP="00885640">
            <w:pPr>
              <w:rPr>
                <w:szCs w:val="20"/>
              </w:rPr>
            </w:pPr>
            <w:r w:rsidRPr="001E3A0E">
              <w:rPr>
                <w:szCs w:val="20"/>
              </w:rPr>
              <w:t>66.9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AECE" w14:textId="77777777" w:rsidR="00885640" w:rsidRPr="001E3A0E" w:rsidRDefault="00885640" w:rsidP="00885640">
            <w:pPr>
              <w:rPr>
                <w:szCs w:val="20"/>
              </w:rPr>
            </w:pPr>
            <w:r w:rsidRPr="001E3A0E">
              <w:rPr>
                <w:szCs w:val="20"/>
              </w:rPr>
              <w:t>55.02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9DAD1" w14:textId="77777777" w:rsidR="00885640" w:rsidRPr="001E3A0E" w:rsidRDefault="00885640" w:rsidP="00885640">
            <w:pPr>
              <w:rPr>
                <w:szCs w:val="20"/>
              </w:rPr>
            </w:pPr>
            <w:r w:rsidRPr="001E3A0E">
              <w:rPr>
                <w:szCs w:val="20"/>
              </w:rPr>
              <w:t>2004-2005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76CB" w14:textId="77777777" w:rsidR="00885640" w:rsidRPr="001E3A0E" w:rsidRDefault="00885640" w:rsidP="00885640">
            <w:pPr>
              <w:rPr>
                <w:szCs w:val="20"/>
              </w:rPr>
            </w:pPr>
            <w:r w:rsidRPr="001E3A0E">
              <w:rPr>
                <w:szCs w:val="20"/>
              </w:rPr>
              <w:t>every 2 years</w:t>
            </w:r>
          </w:p>
          <w:p w14:paraId="21860EAF" w14:textId="77777777" w:rsidR="00885640" w:rsidRPr="001E3A0E" w:rsidRDefault="00885640" w:rsidP="00885640">
            <w:pPr>
              <w:rPr>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E073F"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8D426" w14:textId="77777777" w:rsidR="00885640" w:rsidRPr="001E3A0E" w:rsidRDefault="00885640" w:rsidP="00885640">
            <w:pPr>
              <w:rPr>
                <w:szCs w:val="20"/>
              </w:rPr>
            </w:pPr>
            <w:r w:rsidRPr="001E3A0E">
              <w:rPr>
                <w:szCs w:val="20"/>
              </w:rPr>
              <w:t>Frail (FI&gt;=0.25)</w:t>
            </w:r>
          </w:p>
        </w:tc>
      </w:tr>
      <w:tr w:rsidR="00885640" w:rsidRPr="001E3A0E" w14:paraId="0DDDBCD8"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B9DFE4A" w14:textId="77777777" w:rsidR="00885640" w:rsidRPr="001E3A0E" w:rsidRDefault="00885640" w:rsidP="00885640">
            <w:pPr>
              <w:rPr>
                <w:szCs w:val="20"/>
              </w:rPr>
            </w:pPr>
            <w:r w:rsidRPr="001E3A0E">
              <w:rPr>
                <w:szCs w:val="20"/>
              </w:rPr>
              <w:t>24</w:t>
            </w:r>
          </w:p>
          <w:p w14:paraId="473103D8"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D60B1" w14:textId="77777777" w:rsidR="00885640" w:rsidRPr="001E3A0E" w:rsidRDefault="00885640" w:rsidP="00885640">
            <w:pPr>
              <w:rPr>
                <w:szCs w:val="20"/>
              </w:rPr>
            </w:pPr>
            <w:r w:rsidRPr="001E3A0E">
              <w:rPr>
                <w:noProof/>
                <w:szCs w:val="20"/>
              </w:rPr>
              <w:t>Rogers and Fancourt (2020)</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33D5F"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61B89" w14:textId="77777777" w:rsidR="00885640" w:rsidRPr="001E3A0E" w:rsidRDefault="00885640" w:rsidP="00885640">
            <w:pPr>
              <w:rPr>
                <w:szCs w:val="20"/>
              </w:rPr>
            </w:pPr>
            <w:r w:rsidRPr="001E3A0E">
              <w:rPr>
                <w:szCs w:val="20"/>
              </w:rPr>
              <w:t>4575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2F30" w14:textId="77777777" w:rsidR="00885640" w:rsidRPr="001E3A0E" w:rsidRDefault="00885640" w:rsidP="00885640">
            <w:pPr>
              <w:rPr>
                <w:szCs w:val="20"/>
              </w:rPr>
            </w:pPr>
            <w:r w:rsidRPr="001E3A0E">
              <w:rPr>
                <w:szCs w:val="20"/>
              </w:rPr>
              <w:t>64.7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04CE" w14:textId="77777777" w:rsidR="00885640" w:rsidRPr="001E3A0E" w:rsidRDefault="00885640" w:rsidP="00885640">
            <w:pPr>
              <w:rPr>
                <w:szCs w:val="20"/>
              </w:rPr>
            </w:pPr>
            <w:r w:rsidRPr="001E3A0E">
              <w:rPr>
                <w:szCs w:val="20"/>
              </w:rPr>
              <w:t>52.7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B0771" w14:textId="77777777" w:rsidR="00885640" w:rsidRPr="001E3A0E" w:rsidRDefault="00885640" w:rsidP="00885640">
            <w:pPr>
              <w:rPr>
                <w:szCs w:val="20"/>
              </w:rPr>
            </w:pPr>
            <w:r w:rsidRPr="001E3A0E">
              <w:rPr>
                <w:szCs w:val="20"/>
              </w:rPr>
              <w:t>2004-2015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91ACB"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5C60D" w14:textId="77777777" w:rsidR="00885640" w:rsidRPr="001E3A0E" w:rsidRDefault="00885640" w:rsidP="00885640">
            <w:pPr>
              <w:rPr>
                <w:szCs w:val="20"/>
              </w:rPr>
            </w:pPr>
            <w:r w:rsidRPr="001E3A0E">
              <w:rPr>
                <w:szCs w:val="20"/>
              </w:rPr>
              <w:t>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A536" w14:textId="77777777" w:rsidR="00885640" w:rsidRPr="001E3A0E" w:rsidRDefault="00885640" w:rsidP="00885640">
            <w:pPr>
              <w:rPr>
                <w:szCs w:val="20"/>
              </w:rPr>
            </w:pPr>
            <w:r w:rsidRPr="001E3A0E">
              <w:rPr>
                <w:szCs w:val="20"/>
              </w:rPr>
              <w:t>NR</w:t>
            </w:r>
          </w:p>
        </w:tc>
      </w:tr>
      <w:tr w:rsidR="00885640" w:rsidRPr="001E3A0E" w14:paraId="59C0AFD3"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EA2751A" w14:textId="77777777" w:rsidR="00885640" w:rsidRPr="001E3A0E" w:rsidRDefault="00885640" w:rsidP="00885640">
            <w:pPr>
              <w:rPr>
                <w:szCs w:val="20"/>
              </w:rPr>
            </w:pPr>
            <w:r w:rsidRPr="001E3A0E">
              <w:rPr>
                <w:szCs w:val="20"/>
              </w:rPr>
              <w:t>25</w:t>
            </w:r>
          </w:p>
          <w:p w14:paraId="097316A1"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7CA19" w14:textId="77777777" w:rsidR="00885640" w:rsidRPr="001E3A0E" w:rsidRDefault="00885640" w:rsidP="00885640">
            <w:pPr>
              <w:rPr>
                <w:szCs w:val="20"/>
              </w:rPr>
            </w:pPr>
            <w:r w:rsidRPr="001E3A0E">
              <w:rPr>
                <w:noProof/>
                <w:szCs w:val="20"/>
              </w:rPr>
              <w:t>Rogers et al. (2017a)</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0EFFB"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3544A" w14:textId="77777777" w:rsidR="00885640" w:rsidRPr="001E3A0E" w:rsidRDefault="00885640" w:rsidP="00885640">
            <w:pPr>
              <w:rPr>
                <w:szCs w:val="20"/>
              </w:rPr>
            </w:pPr>
            <w:r w:rsidRPr="001E3A0E">
              <w:rPr>
                <w:szCs w:val="20"/>
              </w:rPr>
              <w:t>8649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56822" w14:textId="77777777" w:rsidR="00885640" w:rsidRPr="001E3A0E" w:rsidRDefault="00885640" w:rsidP="00885640">
            <w:pPr>
              <w:rPr>
                <w:szCs w:val="20"/>
              </w:rPr>
            </w:pPr>
            <w:r w:rsidRPr="001E3A0E">
              <w:rPr>
                <w:szCs w:val="20"/>
              </w:rPr>
              <w:t>64.0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8C49B" w14:textId="77777777" w:rsidR="00885640" w:rsidRPr="001E3A0E" w:rsidRDefault="00885640" w:rsidP="00885640">
            <w:pPr>
              <w:rPr>
                <w:szCs w:val="20"/>
              </w:rPr>
            </w:pPr>
            <w:r w:rsidRPr="001E3A0E">
              <w:rPr>
                <w:szCs w:val="20"/>
              </w:rPr>
              <w:t>53.2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B497E" w14:textId="77777777" w:rsidR="00885640" w:rsidRPr="001E3A0E" w:rsidRDefault="00885640" w:rsidP="00885640">
            <w:pPr>
              <w:rPr>
                <w:szCs w:val="20"/>
              </w:rPr>
            </w:pPr>
            <w:r w:rsidRPr="001E3A0E">
              <w:rPr>
                <w:szCs w:val="20"/>
              </w:rPr>
              <w:t>2002-2003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F6927"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1B2BD" w14:textId="77777777" w:rsidR="00885640" w:rsidRPr="001E3A0E" w:rsidRDefault="00885640" w:rsidP="00885640">
            <w:pPr>
              <w:rPr>
                <w:szCs w:val="20"/>
              </w:rPr>
            </w:pPr>
            <w:r w:rsidRPr="001E3A0E">
              <w:rPr>
                <w:szCs w:val="20"/>
              </w:rPr>
              <w:t>56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2F7FF" w14:textId="77777777" w:rsidR="00885640" w:rsidRPr="001E3A0E" w:rsidRDefault="00885640" w:rsidP="00885640">
            <w:pPr>
              <w:rPr>
                <w:szCs w:val="20"/>
              </w:rPr>
            </w:pPr>
            <w:r w:rsidRPr="001E3A0E">
              <w:rPr>
                <w:szCs w:val="20"/>
              </w:rPr>
              <w:t xml:space="preserve">Non-frail (FI&lt;0.25); </w:t>
            </w:r>
            <w:r w:rsidRPr="001E3A0E">
              <w:rPr>
                <w:szCs w:val="20"/>
              </w:rPr>
              <w:br/>
              <w:t>Frail (FI &gt;= 0.25)</w:t>
            </w:r>
          </w:p>
        </w:tc>
      </w:tr>
      <w:tr w:rsidR="00885640" w:rsidRPr="001E3A0E" w14:paraId="208AC23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02628B6" w14:textId="77777777" w:rsidR="00885640" w:rsidRPr="001E3A0E" w:rsidRDefault="00885640" w:rsidP="00885640">
            <w:pPr>
              <w:rPr>
                <w:szCs w:val="20"/>
              </w:rPr>
            </w:pPr>
            <w:r w:rsidRPr="001E3A0E">
              <w:rPr>
                <w:szCs w:val="20"/>
              </w:rPr>
              <w:t>26</w:t>
            </w:r>
          </w:p>
          <w:p w14:paraId="62F4C002"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6EA29" w14:textId="77777777" w:rsidR="00885640" w:rsidRPr="001E3A0E" w:rsidRDefault="00885640" w:rsidP="00885640">
            <w:pPr>
              <w:rPr>
                <w:szCs w:val="20"/>
              </w:rPr>
            </w:pPr>
            <w:r w:rsidRPr="001E3A0E">
              <w:rPr>
                <w:noProof/>
                <w:szCs w:val="20"/>
              </w:rPr>
              <w:t>Rogers et al. (2017b)</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21425" w14:textId="77777777" w:rsidR="00885640" w:rsidRPr="001E3A0E" w:rsidRDefault="00885640" w:rsidP="00885640">
            <w:pPr>
              <w:rPr>
                <w:szCs w:val="20"/>
              </w:rPr>
            </w:pPr>
            <w:r w:rsidRPr="001E3A0E">
              <w:rPr>
                <w:szCs w:val="20"/>
              </w:rPr>
              <w:t>England: The English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7C78" w14:textId="77777777" w:rsidR="00885640" w:rsidRPr="001E3A0E" w:rsidRDefault="00885640" w:rsidP="00885640">
            <w:pPr>
              <w:rPr>
                <w:szCs w:val="20"/>
              </w:rPr>
            </w:pPr>
            <w:r w:rsidRPr="001E3A0E">
              <w:rPr>
                <w:szCs w:val="20"/>
              </w:rPr>
              <w:t>8722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30E2B" w14:textId="77777777" w:rsidR="00885640" w:rsidRPr="001E3A0E" w:rsidRDefault="00885640" w:rsidP="00885640">
            <w:pPr>
              <w:rPr>
                <w:szCs w:val="20"/>
              </w:rPr>
            </w:pPr>
            <w:r w:rsidRPr="001E3A0E">
              <w:rPr>
                <w:szCs w:val="20"/>
              </w:rPr>
              <w:t>64.4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343CA" w14:textId="77777777" w:rsidR="00885640" w:rsidRPr="001E3A0E" w:rsidRDefault="00885640" w:rsidP="00885640">
            <w:pPr>
              <w:rPr>
                <w:szCs w:val="20"/>
              </w:rPr>
            </w:pPr>
            <w:r w:rsidRPr="001E3A0E">
              <w:rPr>
                <w:szCs w:val="20"/>
              </w:rPr>
              <w:t>54.9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C70C0" w14:textId="77777777" w:rsidR="00885640" w:rsidRPr="001E3A0E" w:rsidRDefault="00885640" w:rsidP="00885640">
            <w:pPr>
              <w:rPr>
                <w:szCs w:val="20"/>
              </w:rPr>
            </w:pPr>
            <w:r w:rsidRPr="001E3A0E">
              <w:rPr>
                <w:szCs w:val="20"/>
              </w:rPr>
              <w:t>2002-2003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E63D2"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842AF" w14:textId="77777777" w:rsidR="00885640" w:rsidRPr="001E3A0E" w:rsidRDefault="00885640" w:rsidP="00885640">
            <w:pPr>
              <w:rPr>
                <w:szCs w:val="20"/>
              </w:rPr>
            </w:pPr>
            <w:r w:rsidRPr="001E3A0E">
              <w:rPr>
                <w:szCs w:val="20"/>
              </w:rPr>
              <w:t>47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313C7" w14:textId="77777777" w:rsidR="00885640" w:rsidRPr="001E3A0E" w:rsidRDefault="00885640" w:rsidP="00885640">
            <w:pPr>
              <w:rPr>
                <w:szCs w:val="20"/>
              </w:rPr>
            </w:pPr>
            <w:r w:rsidRPr="001E3A0E">
              <w:rPr>
                <w:szCs w:val="20"/>
              </w:rPr>
              <w:t xml:space="preserve">non-frail (FI ≤0.08); </w:t>
            </w:r>
            <w:r w:rsidRPr="001E3A0E">
              <w:rPr>
                <w:szCs w:val="20"/>
              </w:rPr>
              <w:br/>
              <w:t>pre-frail (0.08 &lt; FI ≤0.25);</w:t>
            </w:r>
            <w:r w:rsidRPr="001E3A0E">
              <w:rPr>
                <w:szCs w:val="20"/>
              </w:rPr>
              <w:br/>
              <w:t xml:space="preserve"> frail (FI &gt;0.25)</w:t>
            </w:r>
          </w:p>
        </w:tc>
      </w:tr>
      <w:tr w:rsidR="00885640" w:rsidRPr="001E3A0E" w14:paraId="18930CC6"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6487FE3" w14:textId="77777777" w:rsidR="00885640" w:rsidRPr="001E3A0E" w:rsidRDefault="00885640" w:rsidP="00885640">
            <w:pPr>
              <w:rPr>
                <w:szCs w:val="20"/>
              </w:rPr>
            </w:pPr>
            <w:r w:rsidRPr="001E3A0E">
              <w:rPr>
                <w:szCs w:val="20"/>
              </w:rPr>
              <w:t>27</w:t>
            </w:r>
          </w:p>
          <w:p w14:paraId="265ECFC7"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5D47F" w14:textId="77777777" w:rsidR="00885640" w:rsidRPr="001E3A0E" w:rsidRDefault="00885640" w:rsidP="00885640">
            <w:pPr>
              <w:rPr>
                <w:szCs w:val="20"/>
              </w:rPr>
            </w:pPr>
            <w:r w:rsidRPr="001E3A0E">
              <w:rPr>
                <w:noProof/>
                <w:szCs w:val="20"/>
              </w:rPr>
              <w:t>Stow et al. (2018)</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5BF63" w14:textId="77777777" w:rsidR="00885640" w:rsidRPr="001E3A0E" w:rsidRDefault="00885640" w:rsidP="00885640">
            <w:pPr>
              <w:rPr>
                <w:szCs w:val="20"/>
              </w:rPr>
            </w:pPr>
            <w:r w:rsidRPr="001E3A0E">
              <w:rPr>
                <w:szCs w:val="20"/>
              </w:rPr>
              <w:t>England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C1C19" w14:textId="77777777" w:rsidR="00885640" w:rsidRPr="001E3A0E" w:rsidRDefault="00885640" w:rsidP="00885640">
            <w:pPr>
              <w:rPr>
                <w:szCs w:val="20"/>
              </w:rPr>
            </w:pPr>
            <w:r w:rsidRPr="001E3A0E">
              <w:rPr>
                <w:szCs w:val="20"/>
              </w:rPr>
              <w:t>26298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EAA79" w14:textId="77777777" w:rsidR="00885640" w:rsidRPr="001E3A0E" w:rsidRDefault="00885640" w:rsidP="00885640">
            <w:pPr>
              <w:rPr>
                <w:szCs w:val="20"/>
              </w:rPr>
            </w:pPr>
            <w:r w:rsidRPr="001E3A0E">
              <w:rPr>
                <w:szCs w:val="20"/>
              </w:rPr>
              <w:t>85.4 (&gt;=75)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B10E" w14:textId="77777777" w:rsidR="00885640" w:rsidRPr="001E3A0E" w:rsidRDefault="00885640" w:rsidP="00885640">
            <w:pPr>
              <w:rPr>
                <w:szCs w:val="20"/>
              </w:rPr>
            </w:pPr>
            <w:r w:rsidRPr="001E3A0E">
              <w:rPr>
                <w:szCs w:val="20"/>
              </w:rPr>
              <w:t>55.6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B62C5" w14:textId="77777777" w:rsidR="00885640" w:rsidRPr="001E3A0E" w:rsidRDefault="00885640" w:rsidP="00885640">
            <w:pPr>
              <w:rPr>
                <w:szCs w:val="20"/>
              </w:rPr>
            </w:pPr>
            <w:r w:rsidRPr="001E3A0E">
              <w:rPr>
                <w:szCs w:val="20"/>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DCA3" w14:textId="77777777" w:rsidR="00885640" w:rsidRPr="001E3A0E" w:rsidRDefault="00885640" w:rsidP="00885640">
            <w:pPr>
              <w:rPr>
                <w:szCs w:val="20"/>
              </w:rPr>
            </w:pPr>
            <w:r w:rsidRPr="001E3A0E">
              <w:rPr>
                <w:szCs w:val="20"/>
              </w:rPr>
              <w:t>1 year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0E1D"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5184" w14:textId="77777777" w:rsidR="00885640" w:rsidRPr="001E3A0E" w:rsidRDefault="00885640" w:rsidP="00885640">
            <w:pPr>
              <w:rPr>
                <w:szCs w:val="20"/>
              </w:rPr>
            </w:pPr>
            <w:r w:rsidRPr="001E3A0E">
              <w:rPr>
                <w:szCs w:val="20"/>
              </w:rPr>
              <w:t>NR</w:t>
            </w:r>
          </w:p>
        </w:tc>
      </w:tr>
      <w:tr w:rsidR="00885640" w:rsidRPr="001E3A0E" w14:paraId="67AFD28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C5DB6E9" w14:textId="77777777" w:rsidR="00885640" w:rsidRPr="001E3A0E" w:rsidRDefault="00885640" w:rsidP="00885640">
            <w:pPr>
              <w:rPr>
                <w:szCs w:val="20"/>
              </w:rPr>
            </w:pPr>
            <w:r w:rsidRPr="001E3A0E">
              <w:rPr>
                <w:szCs w:val="20"/>
              </w:rPr>
              <w:t>28</w:t>
            </w:r>
          </w:p>
          <w:p w14:paraId="123EDE37"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FA818" w14:textId="77777777" w:rsidR="00885640" w:rsidRPr="001E3A0E" w:rsidRDefault="00885640" w:rsidP="00885640">
            <w:pPr>
              <w:rPr>
                <w:szCs w:val="20"/>
              </w:rPr>
            </w:pPr>
            <w:r w:rsidRPr="001E3A0E">
              <w:rPr>
                <w:noProof/>
                <w:szCs w:val="20"/>
              </w:rPr>
              <w:t>Hubbard et al. (2010)</w:t>
            </w: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5876" w14:textId="77777777" w:rsidR="00885640" w:rsidRPr="001E3A0E" w:rsidRDefault="00885640" w:rsidP="00885640">
            <w:pPr>
              <w:rPr>
                <w:szCs w:val="20"/>
              </w:rPr>
            </w:pPr>
            <w:r w:rsidRPr="001E3A0E">
              <w:rPr>
                <w:szCs w:val="20"/>
              </w:rPr>
              <w:t>England: The English Longitudinal Study of Ageing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EAC78" w14:textId="77777777" w:rsidR="00885640" w:rsidRPr="001E3A0E" w:rsidRDefault="00885640" w:rsidP="00885640">
            <w:pPr>
              <w:rPr>
                <w:szCs w:val="20"/>
              </w:rPr>
            </w:pPr>
            <w:r w:rsidRPr="001E3A0E">
              <w:rPr>
                <w:szCs w:val="20"/>
              </w:rPr>
              <w:t>3055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25FA" w14:textId="77777777" w:rsidR="00885640" w:rsidRPr="001E3A0E" w:rsidRDefault="00885640" w:rsidP="00885640">
            <w:pPr>
              <w:rPr>
                <w:szCs w:val="20"/>
              </w:rPr>
            </w:pPr>
            <w:r w:rsidRPr="001E3A0E">
              <w:rPr>
                <w:szCs w:val="20"/>
              </w:rPr>
              <w:t>NR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CAC01" w14:textId="77777777" w:rsidR="00885640" w:rsidRPr="001E3A0E" w:rsidRDefault="00885640" w:rsidP="00885640">
            <w:pPr>
              <w:rPr>
                <w:szCs w:val="20"/>
              </w:rPr>
            </w:pPr>
            <w:r w:rsidRPr="001E3A0E">
              <w:rPr>
                <w:szCs w:val="20"/>
              </w:rPr>
              <w:t>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F8772" w14:textId="77777777" w:rsidR="00885640" w:rsidRPr="001E3A0E" w:rsidRDefault="00885640" w:rsidP="00885640">
            <w:pPr>
              <w:rPr>
                <w:szCs w:val="20"/>
              </w:rPr>
            </w:pPr>
            <w:r w:rsidRPr="001E3A0E">
              <w:rPr>
                <w:szCs w:val="20"/>
              </w:rPr>
              <w:t>2004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BD52A" w14:textId="77777777" w:rsidR="00885640" w:rsidRPr="001E3A0E" w:rsidRDefault="00885640" w:rsidP="00885640">
            <w:pPr>
              <w:rPr>
                <w:szCs w:val="20"/>
              </w:rPr>
            </w:pPr>
            <w:r w:rsidRPr="001E3A0E">
              <w:rPr>
                <w:szCs w:val="20"/>
              </w:rPr>
              <w:t>NC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D814D" w14:textId="77777777" w:rsidR="00885640" w:rsidRPr="001E3A0E" w:rsidRDefault="00885640" w:rsidP="00885640">
            <w:pPr>
              <w:rPr>
                <w:szCs w:val="20"/>
              </w:rPr>
            </w:pPr>
            <w:r w:rsidRPr="001E3A0E">
              <w:rPr>
                <w:szCs w:val="20"/>
              </w:rPr>
              <w:t>58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64707" w14:textId="77777777" w:rsidR="00885640" w:rsidRPr="001E3A0E" w:rsidRDefault="00885640" w:rsidP="00885640">
            <w:pPr>
              <w:rPr>
                <w:szCs w:val="20"/>
              </w:rPr>
            </w:pPr>
            <w:r w:rsidRPr="001E3A0E">
              <w:rPr>
                <w:szCs w:val="20"/>
              </w:rPr>
              <w:t>NR</w:t>
            </w:r>
          </w:p>
        </w:tc>
      </w:tr>
      <w:tr w:rsidR="00885640" w:rsidRPr="001E3A0E" w14:paraId="1C3D3A18"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F2B552F" w14:textId="77777777" w:rsidR="00885640" w:rsidRPr="001E3A0E" w:rsidRDefault="00885640" w:rsidP="00885640">
            <w:pPr>
              <w:rPr>
                <w:szCs w:val="20"/>
              </w:rPr>
            </w:pPr>
            <w:r w:rsidRPr="001E3A0E">
              <w:rPr>
                <w:szCs w:val="20"/>
              </w:rPr>
              <w:t>29</w:t>
            </w:r>
          </w:p>
          <w:p w14:paraId="1C6FE05E" w14:textId="77777777" w:rsidR="00885640" w:rsidRPr="001E3A0E" w:rsidRDefault="00885640" w:rsidP="00885640">
            <w:pPr>
              <w:rPr>
                <w:szCs w:val="20"/>
              </w:rPr>
            </w:pP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F2608" w14:textId="77777777" w:rsidR="00885640" w:rsidRPr="001E3A0E" w:rsidRDefault="00885640" w:rsidP="00885640">
            <w:pPr>
              <w:rPr>
                <w:szCs w:val="20"/>
              </w:rPr>
            </w:pPr>
            <w:r w:rsidRPr="001E3A0E">
              <w:rPr>
                <w:noProof/>
                <w:szCs w:val="20"/>
              </w:rPr>
              <w:t>Ma et al. (2018)</w:t>
            </w:r>
          </w:p>
          <w:p w14:paraId="7962B700" w14:textId="77777777" w:rsidR="00885640" w:rsidRPr="001E3A0E" w:rsidRDefault="00885640" w:rsidP="00885640">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80BF" w14:textId="77777777" w:rsidR="00885640" w:rsidRPr="001E3A0E" w:rsidRDefault="00885640" w:rsidP="00885640">
            <w:pPr>
              <w:rPr>
                <w:szCs w:val="20"/>
              </w:rPr>
            </w:pPr>
            <w:r w:rsidRPr="001E3A0E">
              <w:rPr>
                <w:szCs w:val="20"/>
              </w:rPr>
              <w:t>China: Beijing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F0212" w14:textId="77777777" w:rsidR="00885640" w:rsidRPr="001E3A0E" w:rsidRDefault="00885640" w:rsidP="00885640">
            <w:pPr>
              <w:rPr>
                <w:szCs w:val="20"/>
              </w:rPr>
            </w:pPr>
            <w:r w:rsidRPr="001E3A0E">
              <w:rPr>
                <w:szCs w:val="20"/>
              </w:rPr>
              <w:t>1810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F287C" w14:textId="77777777" w:rsidR="00885640" w:rsidRPr="001E3A0E" w:rsidRDefault="00885640" w:rsidP="00885640">
            <w:pPr>
              <w:rPr>
                <w:szCs w:val="20"/>
              </w:rPr>
            </w:pPr>
            <w:r w:rsidRPr="001E3A0E">
              <w:rPr>
                <w:szCs w:val="20"/>
              </w:rPr>
              <w:t>74.5 (&gt;=60)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DC83" w14:textId="77777777" w:rsidR="00885640" w:rsidRPr="001E3A0E" w:rsidRDefault="00885640" w:rsidP="00885640">
            <w:pPr>
              <w:rPr>
                <w:szCs w:val="20"/>
              </w:rPr>
            </w:pPr>
            <w:r w:rsidRPr="001E3A0E">
              <w:rPr>
                <w:szCs w:val="20"/>
              </w:rPr>
              <w:t>51.9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861A9" w14:textId="77777777" w:rsidR="00885640" w:rsidRPr="001E3A0E" w:rsidRDefault="00885640" w:rsidP="00885640">
            <w:pPr>
              <w:rPr>
                <w:szCs w:val="20"/>
              </w:rPr>
            </w:pPr>
            <w:r w:rsidRPr="001E3A0E">
              <w:rPr>
                <w:szCs w:val="20"/>
              </w:rPr>
              <w:t>2004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6297" w14:textId="77777777" w:rsidR="00885640" w:rsidRPr="001E3A0E" w:rsidRDefault="00885640" w:rsidP="00885640">
            <w:pPr>
              <w:rPr>
                <w:szCs w:val="20"/>
              </w:rPr>
            </w:pPr>
            <w:r w:rsidRPr="001E3A0E">
              <w:rPr>
                <w:szCs w:val="20"/>
              </w:rPr>
              <w:t>8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1EA9" w14:textId="77777777" w:rsidR="00885640" w:rsidRPr="001E3A0E" w:rsidRDefault="00885640" w:rsidP="00885640">
            <w:pPr>
              <w:rPr>
                <w:szCs w:val="20"/>
              </w:rPr>
            </w:pPr>
            <w:r w:rsidRPr="001E3A0E">
              <w:rPr>
                <w:szCs w:val="20"/>
              </w:rPr>
              <w:t>68</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B1122" w14:textId="77777777" w:rsidR="00885640" w:rsidRPr="001E3A0E" w:rsidRDefault="00885640" w:rsidP="00885640">
            <w:pPr>
              <w:rPr>
                <w:szCs w:val="20"/>
              </w:rPr>
            </w:pPr>
            <w:r w:rsidRPr="001E3A0E">
              <w:rPr>
                <w:szCs w:val="20"/>
              </w:rPr>
              <w:t>Frail (FI&gt;=0.25)</w:t>
            </w:r>
          </w:p>
        </w:tc>
      </w:tr>
      <w:tr w:rsidR="00885640" w:rsidRPr="001E3A0E" w14:paraId="1809F0A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3EA5E31" w14:textId="77777777" w:rsidR="00885640" w:rsidRPr="001E3A0E" w:rsidRDefault="00885640" w:rsidP="00885640">
            <w:pPr>
              <w:rPr>
                <w:szCs w:val="20"/>
              </w:rPr>
            </w:pPr>
          </w:p>
          <w:p w14:paraId="012C75D7" w14:textId="77777777" w:rsidR="00885640" w:rsidRPr="001E3A0E" w:rsidRDefault="00885640" w:rsidP="00885640">
            <w:pPr>
              <w:rPr>
                <w:szCs w:val="20"/>
              </w:rPr>
            </w:pPr>
            <w:r w:rsidRPr="001E3A0E">
              <w:rPr>
                <w:szCs w:val="20"/>
              </w:rPr>
              <w:t>30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C49" w14:textId="77777777" w:rsidR="00885640" w:rsidRPr="001E3A0E" w:rsidRDefault="00885640" w:rsidP="00885640">
            <w:pPr>
              <w:rPr>
                <w:szCs w:val="20"/>
              </w:rPr>
            </w:pPr>
            <w:r w:rsidRPr="001E3A0E">
              <w:rPr>
                <w:noProof/>
                <w:szCs w:val="20"/>
              </w:rPr>
              <w:t>Zheng et al. (2016)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3E252" w14:textId="77777777" w:rsidR="00885640" w:rsidRPr="001E3A0E" w:rsidRDefault="00885640" w:rsidP="00885640">
            <w:pPr>
              <w:rPr>
                <w:szCs w:val="20"/>
              </w:rPr>
            </w:pPr>
            <w:r w:rsidRPr="001E3A0E">
              <w:rPr>
                <w:szCs w:val="20"/>
              </w:rPr>
              <w:t>China: Beijing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32CC" w14:textId="77777777" w:rsidR="00885640" w:rsidRPr="001E3A0E" w:rsidRDefault="00885640" w:rsidP="00885640">
            <w:pPr>
              <w:rPr>
                <w:szCs w:val="20"/>
              </w:rPr>
            </w:pPr>
            <w:r w:rsidRPr="001E3A0E">
              <w:rPr>
                <w:szCs w:val="20"/>
              </w:rPr>
              <w:t>10039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BDDA" w14:textId="77777777" w:rsidR="00885640" w:rsidRPr="001E3A0E" w:rsidRDefault="00885640" w:rsidP="00885640">
            <w:pPr>
              <w:rPr>
                <w:szCs w:val="20"/>
              </w:rPr>
            </w:pPr>
            <w:r w:rsidRPr="001E3A0E">
              <w:rPr>
                <w:szCs w:val="20"/>
              </w:rPr>
              <w:t>70.5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3081E" w14:textId="77777777" w:rsidR="00885640" w:rsidRPr="001E3A0E" w:rsidRDefault="00885640" w:rsidP="00885640">
            <w:pPr>
              <w:rPr>
                <w:szCs w:val="20"/>
              </w:rPr>
            </w:pPr>
            <w:r w:rsidRPr="001E3A0E">
              <w:rPr>
                <w:szCs w:val="20"/>
              </w:rPr>
              <w:t>61.0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6262" w14:textId="77777777" w:rsidR="00885640" w:rsidRPr="001E3A0E" w:rsidRDefault="00885640" w:rsidP="00885640">
            <w:pPr>
              <w:rPr>
                <w:szCs w:val="20"/>
              </w:rPr>
            </w:pPr>
            <w:r w:rsidRPr="001E3A0E">
              <w:rPr>
                <w:szCs w:val="20"/>
              </w:rPr>
              <w:t>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0A45" w14:textId="77777777" w:rsidR="00885640" w:rsidRPr="001E3A0E" w:rsidRDefault="00885640" w:rsidP="00885640">
            <w:pPr>
              <w:rPr>
                <w:szCs w:val="20"/>
              </w:rPr>
            </w:pPr>
            <w:r w:rsidRPr="001E3A0E">
              <w:rPr>
                <w:szCs w:val="20"/>
              </w:rPr>
              <w:t>1 year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A32E"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8D256" w14:textId="77777777" w:rsidR="00885640" w:rsidRPr="001E3A0E" w:rsidRDefault="00885640" w:rsidP="00885640">
            <w:pPr>
              <w:rPr>
                <w:szCs w:val="20"/>
              </w:rPr>
            </w:pPr>
            <w:r w:rsidRPr="001E3A0E">
              <w:rPr>
                <w:szCs w:val="20"/>
              </w:rPr>
              <w:t>Frail (FI&gt;=0.25)</w:t>
            </w:r>
          </w:p>
        </w:tc>
      </w:tr>
      <w:tr w:rsidR="00885640" w:rsidRPr="001E3A0E" w14:paraId="158353C2"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06308F8" w14:textId="77777777" w:rsidR="00885640" w:rsidRPr="001E3A0E" w:rsidRDefault="00885640" w:rsidP="00885640">
            <w:pPr>
              <w:rPr>
                <w:szCs w:val="20"/>
              </w:rPr>
            </w:pPr>
            <w:r w:rsidRPr="001E3A0E">
              <w:rPr>
                <w:szCs w:val="20"/>
              </w:rPr>
              <w:t>31</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BF00F" w14:textId="77777777" w:rsidR="00885640" w:rsidRPr="001E3A0E" w:rsidRDefault="00885640" w:rsidP="00885640">
            <w:pPr>
              <w:rPr>
                <w:szCs w:val="20"/>
              </w:rPr>
            </w:pPr>
            <w:r w:rsidRPr="001E3A0E">
              <w:rPr>
                <w:noProof/>
                <w:szCs w:val="20"/>
              </w:rPr>
              <w:t>Gu et al. (2009)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51A63" w14:textId="77777777" w:rsidR="00885640" w:rsidRPr="001E3A0E" w:rsidRDefault="00885640" w:rsidP="00885640">
            <w:pPr>
              <w:rPr>
                <w:szCs w:val="20"/>
              </w:rPr>
            </w:pPr>
            <w:r w:rsidRPr="001E3A0E">
              <w:rPr>
                <w:szCs w:val="20"/>
              </w:rPr>
              <w:t>China: Chinese Longitudinal Healthy Longevity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1FE83" w14:textId="77777777" w:rsidR="00885640" w:rsidRPr="001E3A0E" w:rsidRDefault="00885640" w:rsidP="00885640">
            <w:pPr>
              <w:rPr>
                <w:szCs w:val="20"/>
              </w:rPr>
            </w:pPr>
            <w:r w:rsidRPr="001E3A0E">
              <w:rPr>
                <w:szCs w:val="20"/>
              </w:rPr>
              <w:t>13861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E16D" w14:textId="77777777" w:rsidR="00885640" w:rsidRPr="001E3A0E" w:rsidRDefault="00885640" w:rsidP="00885640">
            <w:pPr>
              <w:rPr>
                <w:szCs w:val="20"/>
              </w:rPr>
            </w:pPr>
            <w:r w:rsidRPr="001E3A0E">
              <w:rPr>
                <w:szCs w:val="20"/>
              </w:rPr>
              <w:t>NR (65 - 109)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DD38F" w14:textId="77777777" w:rsidR="00885640" w:rsidRPr="001E3A0E" w:rsidRDefault="00885640" w:rsidP="00885640">
            <w:pPr>
              <w:rPr>
                <w:szCs w:val="20"/>
              </w:rPr>
            </w:pPr>
            <w:r w:rsidRPr="001E3A0E">
              <w:rPr>
                <w:szCs w:val="20"/>
              </w:rPr>
              <w:t>57.2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014B" w14:textId="77777777" w:rsidR="00885640" w:rsidRPr="001E3A0E" w:rsidRDefault="00885640" w:rsidP="00885640">
            <w:pPr>
              <w:rPr>
                <w:szCs w:val="20"/>
              </w:rPr>
            </w:pPr>
            <w:r w:rsidRPr="001E3A0E">
              <w:rPr>
                <w:szCs w:val="20"/>
              </w:rPr>
              <w:t>2002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8D1C" w14:textId="77777777" w:rsidR="00885640" w:rsidRPr="001E3A0E" w:rsidRDefault="00885640" w:rsidP="00885640">
            <w:pPr>
              <w:rPr>
                <w:szCs w:val="20"/>
              </w:rPr>
            </w:pPr>
            <w:r w:rsidRPr="001E3A0E">
              <w:rPr>
                <w:szCs w:val="20"/>
              </w:rPr>
              <w:t>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25678" w14:textId="77777777" w:rsidR="00885640" w:rsidRPr="001E3A0E" w:rsidRDefault="00885640" w:rsidP="00885640">
            <w:pPr>
              <w:rPr>
                <w:szCs w:val="20"/>
              </w:rPr>
            </w:pPr>
            <w:r w:rsidRPr="001E3A0E">
              <w:rPr>
                <w:szCs w:val="20"/>
              </w:rPr>
              <w:t>39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C17A2" w14:textId="77777777" w:rsidR="00885640" w:rsidRPr="001E3A0E" w:rsidRDefault="00885640" w:rsidP="00885640">
            <w:pPr>
              <w:rPr>
                <w:szCs w:val="20"/>
              </w:rPr>
            </w:pPr>
            <w:r w:rsidRPr="001E3A0E">
              <w:rPr>
                <w:szCs w:val="20"/>
              </w:rPr>
              <w:t>quartile</w:t>
            </w:r>
          </w:p>
        </w:tc>
      </w:tr>
      <w:tr w:rsidR="00885640" w:rsidRPr="001E3A0E" w14:paraId="693AE1F8"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A30EBE7" w14:textId="77777777" w:rsidR="00885640" w:rsidRPr="001E3A0E" w:rsidRDefault="00885640" w:rsidP="00885640">
            <w:pPr>
              <w:rPr>
                <w:szCs w:val="20"/>
              </w:rPr>
            </w:pPr>
            <w:r w:rsidRPr="001E3A0E">
              <w:rPr>
                <w:szCs w:val="20"/>
              </w:rPr>
              <w:t>32</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E01F" w14:textId="77777777" w:rsidR="00885640" w:rsidRPr="001E3A0E" w:rsidRDefault="00885640" w:rsidP="00885640">
            <w:pPr>
              <w:rPr>
                <w:szCs w:val="20"/>
              </w:rPr>
            </w:pPr>
            <w:r w:rsidRPr="001E3A0E">
              <w:rPr>
                <w:noProof/>
                <w:szCs w:val="20"/>
              </w:rPr>
              <w:t>Shi et al. (2011)</w:t>
            </w:r>
          </w:p>
          <w:p w14:paraId="5B60F1FB" w14:textId="77777777" w:rsidR="00885640" w:rsidRPr="001E3A0E" w:rsidRDefault="00885640" w:rsidP="00885640">
            <w:pPr>
              <w:rPr>
                <w:szCs w:val="20"/>
              </w:rPr>
            </w:pP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0199A" w14:textId="77777777" w:rsidR="00885640" w:rsidRPr="001E3A0E" w:rsidRDefault="00885640" w:rsidP="00885640">
            <w:pPr>
              <w:rPr>
                <w:szCs w:val="20"/>
              </w:rPr>
            </w:pPr>
            <w:r w:rsidRPr="001E3A0E">
              <w:rPr>
                <w:szCs w:val="20"/>
              </w:rPr>
              <w:t>China: Beijing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3069C" w14:textId="77777777" w:rsidR="00885640" w:rsidRPr="001E3A0E" w:rsidRDefault="00885640" w:rsidP="00885640">
            <w:pPr>
              <w:rPr>
                <w:szCs w:val="20"/>
              </w:rPr>
            </w:pPr>
            <w:r w:rsidRPr="001E3A0E">
              <w:rPr>
                <w:szCs w:val="20"/>
              </w:rPr>
              <w:t>3257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14419" w14:textId="77777777" w:rsidR="00885640" w:rsidRPr="001E3A0E" w:rsidRDefault="00885640" w:rsidP="00885640">
            <w:pPr>
              <w:rPr>
                <w:szCs w:val="20"/>
              </w:rPr>
            </w:pPr>
            <w:r w:rsidRPr="001E3A0E">
              <w:rPr>
                <w:szCs w:val="20"/>
              </w:rPr>
              <w:t>NR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3A1E" w14:textId="77777777" w:rsidR="00885640" w:rsidRPr="001E3A0E" w:rsidRDefault="00885640" w:rsidP="00885640">
            <w:pPr>
              <w:rPr>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4BDE" w14:textId="77777777" w:rsidR="00885640" w:rsidRPr="001E3A0E" w:rsidRDefault="00885640" w:rsidP="00885640">
            <w:pPr>
              <w:rPr>
                <w:szCs w:val="20"/>
              </w:rPr>
            </w:pPr>
            <w:r w:rsidRPr="001E3A0E">
              <w:rPr>
                <w:szCs w:val="20"/>
              </w:rPr>
              <w:t>1992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35B9D" w14:textId="77777777" w:rsidR="00885640" w:rsidRPr="001E3A0E" w:rsidRDefault="00885640" w:rsidP="00885640">
            <w:pPr>
              <w:rPr>
                <w:szCs w:val="20"/>
              </w:rPr>
            </w:pPr>
            <w:r w:rsidRPr="001E3A0E">
              <w:rPr>
                <w:szCs w:val="20"/>
              </w:rPr>
              <w:t>every 2-3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E7950" w14:textId="77777777" w:rsidR="00885640" w:rsidRPr="001E3A0E" w:rsidRDefault="00885640" w:rsidP="00885640">
            <w:pPr>
              <w:rPr>
                <w:szCs w:val="20"/>
              </w:rPr>
            </w:pPr>
            <w:r w:rsidRPr="001E3A0E">
              <w:rPr>
                <w:szCs w:val="20"/>
              </w:rPr>
              <w:t>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0E5C1" w14:textId="77777777" w:rsidR="00885640" w:rsidRPr="001E3A0E" w:rsidRDefault="00885640" w:rsidP="00885640">
            <w:pPr>
              <w:rPr>
                <w:szCs w:val="20"/>
              </w:rPr>
            </w:pPr>
            <w:r w:rsidRPr="001E3A0E">
              <w:rPr>
                <w:szCs w:val="20"/>
              </w:rPr>
              <w:t>0.10, 0.20, 0.30, 0.40, 0.5.</w:t>
            </w:r>
          </w:p>
        </w:tc>
      </w:tr>
      <w:tr w:rsidR="00885640" w:rsidRPr="001E3A0E" w14:paraId="606B3019"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2FBE487" w14:textId="77777777" w:rsidR="00885640" w:rsidRPr="001E3A0E" w:rsidRDefault="00885640" w:rsidP="00885640">
            <w:pPr>
              <w:rPr>
                <w:szCs w:val="20"/>
              </w:rPr>
            </w:pPr>
            <w:r w:rsidRPr="001E3A0E">
              <w:rPr>
                <w:szCs w:val="20"/>
              </w:rPr>
              <w:t xml:space="preserve">33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C510" w14:textId="77777777" w:rsidR="00885640" w:rsidRPr="001E3A0E" w:rsidRDefault="00885640" w:rsidP="00885640">
            <w:pPr>
              <w:rPr>
                <w:szCs w:val="20"/>
              </w:rPr>
            </w:pPr>
            <w:r w:rsidRPr="001E3A0E">
              <w:rPr>
                <w:noProof/>
                <w:szCs w:val="20"/>
              </w:rPr>
              <w:t>Woo et al. (2015)</w:t>
            </w:r>
          </w:p>
          <w:p w14:paraId="54E6F597" w14:textId="77777777" w:rsidR="00885640" w:rsidRPr="001E3A0E" w:rsidRDefault="00885640" w:rsidP="00885640">
            <w:pPr>
              <w:rPr>
                <w:szCs w:val="20"/>
              </w:rPr>
            </w:pPr>
            <w:r w:rsidRPr="001E3A0E">
              <w:rPr>
                <w:szCs w:val="20"/>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88895" w14:textId="77777777" w:rsidR="00885640" w:rsidRPr="001E3A0E" w:rsidRDefault="00885640" w:rsidP="00885640">
            <w:pPr>
              <w:rPr>
                <w:szCs w:val="20"/>
              </w:rPr>
            </w:pPr>
            <w:r w:rsidRPr="001E3A0E">
              <w:rPr>
                <w:szCs w:val="20"/>
              </w:rPr>
              <w:t>China: Beijing Longitudinal Study of Aging II; Hong Kong cohort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C9718" w14:textId="77777777" w:rsidR="00885640" w:rsidRPr="001E3A0E" w:rsidRDefault="00885640" w:rsidP="00885640">
            <w:pPr>
              <w:rPr>
                <w:szCs w:val="20"/>
              </w:rPr>
            </w:pPr>
            <w:r w:rsidRPr="001E3A0E">
              <w:rPr>
                <w:szCs w:val="20"/>
              </w:rPr>
              <w:t>11298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D3AD3" w14:textId="77777777" w:rsidR="00885640" w:rsidRPr="001E3A0E" w:rsidRDefault="00885640" w:rsidP="00885640">
            <w:pPr>
              <w:rPr>
                <w:szCs w:val="20"/>
              </w:rPr>
            </w:pPr>
            <w:r w:rsidRPr="001E3A0E">
              <w:rPr>
                <w:szCs w:val="20"/>
              </w:rPr>
              <w:t>NR (&gt;=55 Beijing cohort, &gt;=65 Hong Kong cohort)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698F4" w14:textId="77777777" w:rsidR="00885640" w:rsidRPr="001E3A0E" w:rsidRDefault="00885640" w:rsidP="00885640">
            <w:pPr>
              <w:rPr>
                <w:szCs w:val="20"/>
              </w:rPr>
            </w:pPr>
            <w:r w:rsidRPr="001E3A0E">
              <w:rPr>
                <w:szCs w:val="20"/>
              </w:rPr>
              <w:t>57.0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9C7D" w14:textId="77777777" w:rsidR="00885640" w:rsidRPr="001E3A0E" w:rsidRDefault="00885640" w:rsidP="00885640">
            <w:pPr>
              <w:rPr>
                <w:szCs w:val="20"/>
              </w:rPr>
            </w:pPr>
            <w:r w:rsidRPr="001E3A0E">
              <w:rPr>
                <w:szCs w:val="20"/>
              </w:rPr>
              <w:t>2009 (Beijing cohort); 2001 (Hong Kong cohort)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E24B5" w14:textId="77777777" w:rsidR="00885640" w:rsidRPr="001E3A0E" w:rsidRDefault="00885640" w:rsidP="00885640">
            <w:pPr>
              <w:rPr>
                <w:szCs w:val="20"/>
              </w:rPr>
            </w:pPr>
            <w:r w:rsidRPr="001E3A0E">
              <w:rPr>
                <w:szCs w:val="20"/>
              </w:rPr>
              <w:t>every 2-3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2D732" w14:textId="77777777" w:rsidR="00885640" w:rsidRPr="001E3A0E" w:rsidRDefault="00885640" w:rsidP="00885640">
            <w:pPr>
              <w:rPr>
                <w:szCs w:val="20"/>
              </w:rPr>
            </w:pPr>
            <w:r w:rsidRPr="001E3A0E">
              <w:rPr>
                <w:szCs w:val="20"/>
              </w:rPr>
              <w:t>30 (Beijing cohort), 33 (Hong Kong cohort)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6FC8" w14:textId="77777777" w:rsidR="00885640" w:rsidRPr="001E3A0E" w:rsidRDefault="00885640" w:rsidP="00885640">
            <w:pPr>
              <w:rPr>
                <w:szCs w:val="20"/>
              </w:rPr>
            </w:pPr>
            <w:r w:rsidRPr="001E3A0E">
              <w:rPr>
                <w:szCs w:val="20"/>
              </w:rPr>
              <w:t>Non-frail (FI&lt;0.25);</w:t>
            </w:r>
            <w:r w:rsidRPr="001E3A0E">
              <w:rPr>
                <w:szCs w:val="20"/>
              </w:rPr>
              <w:br/>
              <w:t>Frail (FI &gt;= 0.25)</w:t>
            </w:r>
          </w:p>
        </w:tc>
      </w:tr>
      <w:tr w:rsidR="00885640" w:rsidRPr="001E3A0E" w14:paraId="04C73A9C"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B21088D" w14:textId="77777777" w:rsidR="00885640" w:rsidRPr="001E3A0E" w:rsidRDefault="00885640" w:rsidP="00885640">
            <w:pPr>
              <w:rPr>
                <w:szCs w:val="20"/>
              </w:rPr>
            </w:pPr>
            <w:r w:rsidRPr="001E3A0E">
              <w:rPr>
                <w:szCs w:val="20"/>
              </w:rPr>
              <w:t xml:space="preserve">34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1B80E" w14:textId="77777777" w:rsidR="00885640" w:rsidRPr="001E3A0E" w:rsidRDefault="00885640" w:rsidP="00885640">
            <w:pPr>
              <w:rPr>
                <w:szCs w:val="20"/>
              </w:rPr>
            </w:pPr>
            <w:r w:rsidRPr="001E3A0E">
              <w:rPr>
                <w:noProof/>
                <w:szCs w:val="20"/>
              </w:rPr>
              <w:t>Hao et al. (2018)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EB8B8" w14:textId="77777777" w:rsidR="00885640" w:rsidRPr="001E3A0E" w:rsidRDefault="00885640" w:rsidP="00885640">
            <w:pPr>
              <w:rPr>
                <w:szCs w:val="20"/>
              </w:rPr>
            </w:pPr>
            <w:r w:rsidRPr="001E3A0E">
              <w:rPr>
                <w:szCs w:val="20"/>
              </w:rPr>
              <w:t xml:space="preserve">China: The Project of Longevity and Aging in </w:t>
            </w:r>
            <w:proofErr w:type="spellStart"/>
            <w:r w:rsidRPr="001E3A0E">
              <w:rPr>
                <w:szCs w:val="20"/>
              </w:rPr>
              <w:t>Dujiangyan</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13732" w14:textId="77777777" w:rsidR="00885640" w:rsidRPr="001E3A0E" w:rsidRDefault="00885640" w:rsidP="00885640">
            <w:pPr>
              <w:rPr>
                <w:szCs w:val="20"/>
              </w:rPr>
            </w:pPr>
            <w:r w:rsidRPr="001E3A0E">
              <w:rPr>
                <w:szCs w:val="20"/>
              </w:rPr>
              <w:t>705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F5687" w14:textId="77777777" w:rsidR="00885640" w:rsidRPr="001E3A0E" w:rsidRDefault="00885640" w:rsidP="00885640">
            <w:pPr>
              <w:rPr>
                <w:szCs w:val="20"/>
              </w:rPr>
            </w:pPr>
            <w:r w:rsidRPr="001E3A0E">
              <w:rPr>
                <w:szCs w:val="20"/>
              </w:rPr>
              <w:t>93.6 (90 - 108)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38F4" w14:textId="77777777" w:rsidR="00885640" w:rsidRPr="001E3A0E" w:rsidRDefault="00885640" w:rsidP="00885640">
            <w:pPr>
              <w:rPr>
                <w:szCs w:val="20"/>
              </w:rPr>
            </w:pPr>
            <w:r w:rsidRPr="001E3A0E">
              <w:rPr>
                <w:szCs w:val="20"/>
              </w:rPr>
              <w:t>67.4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0E685" w14:textId="77777777" w:rsidR="00885640" w:rsidRPr="001E3A0E" w:rsidRDefault="00885640" w:rsidP="00885640">
            <w:pPr>
              <w:rPr>
                <w:szCs w:val="20"/>
              </w:rPr>
            </w:pPr>
            <w:r w:rsidRPr="001E3A0E">
              <w:rPr>
                <w:szCs w:val="20"/>
              </w:rPr>
              <w:t>2005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5C26" w14:textId="77777777" w:rsidR="00885640" w:rsidRPr="001E3A0E" w:rsidRDefault="00885640" w:rsidP="00885640">
            <w:pPr>
              <w:rPr>
                <w:szCs w:val="20"/>
              </w:rPr>
            </w:pPr>
            <w:r w:rsidRPr="001E3A0E">
              <w:rPr>
                <w:szCs w:val="20"/>
              </w:rPr>
              <w:t>4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403DC"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4D189" w14:textId="77777777" w:rsidR="00885640" w:rsidRPr="001E3A0E" w:rsidRDefault="00885640" w:rsidP="00885640">
            <w:pPr>
              <w:rPr>
                <w:szCs w:val="20"/>
              </w:rPr>
            </w:pPr>
            <w:r w:rsidRPr="001E3A0E">
              <w:rPr>
                <w:szCs w:val="20"/>
              </w:rPr>
              <w:t xml:space="preserve">Non-frail (FI&lt;0.21); </w:t>
            </w:r>
            <w:r w:rsidRPr="001E3A0E">
              <w:rPr>
                <w:szCs w:val="20"/>
              </w:rPr>
              <w:br/>
              <w:t>Frail (FI &gt;= 0.21)</w:t>
            </w:r>
          </w:p>
        </w:tc>
      </w:tr>
      <w:tr w:rsidR="00885640" w:rsidRPr="001E3A0E" w14:paraId="6BB47C4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A20165F" w14:textId="77777777" w:rsidR="00885640" w:rsidRPr="001E3A0E" w:rsidRDefault="00885640" w:rsidP="00885640">
            <w:pPr>
              <w:rPr>
                <w:szCs w:val="20"/>
              </w:rPr>
            </w:pPr>
            <w:r w:rsidRPr="001E3A0E">
              <w:rPr>
                <w:szCs w:val="20"/>
              </w:rPr>
              <w:t>35</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3CB2" w14:textId="77777777" w:rsidR="00885640" w:rsidRPr="001E3A0E" w:rsidRDefault="00885640" w:rsidP="00885640">
            <w:pPr>
              <w:rPr>
                <w:szCs w:val="20"/>
              </w:rPr>
            </w:pPr>
            <w:r w:rsidRPr="001E3A0E">
              <w:rPr>
                <w:noProof/>
                <w:szCs w:val="20"/>
              </w:rPr>
              <w:t>Fang et al. (2012)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07CAF" w14:textId="77777777" w:rsidR="00885640" w:rsidRPr="001E3A0E" w:rsidRDefault="00885640" w:rsidP="00885640">
            <w:pPr>
              <w:rPr>
                <w:szCs w:val="20"/>
              </w:rPr>
            </w:pPr>
            <w:r w:rsidRPr="001E3A0E">
              <w:rPr>
                <w:szCs w:val="20"/>
              </w:rPr>
              <w:t>China: The Beijing Longitudinal</w:t>
            </w:r>
            <w:r w:rsidRPr="001E3A0E">
              <w:rPr>
                <w:szCs w:val="20"/>
              </w:rPr>
              <w:br/>
              <w:t>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C47E0" w14:textId="77777777" w:rsidR="00885640" w:rsidRPr="001E3A0E" w:rsidRDefault="00885640" w:rsidP="00885640">
            <w:pPr>
              <w:rPr>
                <w:szCs w:val="20"/>
              </w:rPr>
            </w:pPr>
            <w:r w:rsidRPr="001E3A0E">
              <w:rPr>
                <w:szCs w:val="20"/>
              </w:rPr>
              <w:t>3257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316A" w14:textId="77777777" w:rsidR="00885640" w:rsidRPr="001E3A0E" w:rsidRDefault="00885640" w:rsidP="00885640">
            <w:pPr>
              <w:rPr>
                <w:szCs w:val="20"/>
              </w:rPr>
            </w:pPr>
            <w:r w:rsidRPr="001E3A0E">
              <w:rPr>
                <w:szCs w:val="20"/>
              </w:rPr>
              <w:t>NR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B5ED" w14:textId="77777777" w:rsidR="00885640" w:rsidRPr="001E3A0E" w:rsidRDefault="00885640" w:rsidP="00885640">
            <w:pPr>
              <w:rPr>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24034" w14:textId="77777777" w:rsidR="00885640" w:rsidRPr="001E3A0E" w:rsidRDefault="00885640" w:rsidP="00885640">
            <w:pPr>
              <w:rPr>
                <w:szCs w:val="20"/>
              </w:rPr>
            </w:pPr>
            <w:r w:rsidRPr="001E3A0E">
              <w:rPr>
                <w:szCs w:val="20"/>
              </w:rPr>
              <w:t>1992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5F571" w14:textId="77777777" w:rsidR="00885640" w:rsidRPr="001E3A0E" w:rsidRDefault="00885640" w:rsidP="00885640">
            <w:pPr>
              <w:rPr>
                <w:szCs w:val="20"/>
              </w:rPr>
            </w:pPr>
            <w:r w:rsidRPr="001E3A0E">
              <w:rPr>
                <w:szCs w:val="20"/>
              </w:rPr>
              <w:t>8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5AEEA" w14:textId="77777777" w:rsidR="00885640" w:rsidRPr="001E3A0E" w:rsidRDefault="00885640" w:rsidP="00885640">
            <w:pPr>
              <w:rPr>
                <w:szCs w:val="20"/>
              </w:rPr>
            </w:pPr>
            <w:r w:rsidRPr="001E3A0E">
              <w:rPr>
                <w:szCs w:val="20"/>
              </w:rPr>
              <w:t>33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4300E" w14:textId="77777777" w:rsidR="00885640" w:rsidRPr="001E3A0E" w:rsidRDefault="00885640" w:rsidP="00885640">
            <w:pPr>
              <w:rPr>
                <w:szCs w:val="20"/>
              </w:rPr>
            </w:pPr>
            <w:r w:rsidRPr="001E3A0E">
              <w:rPr>
                <w:szCs w:val="20"/>
              </w:rPr>
              <w:t>0.03, 0.1, 0.20, 0.50</w:t>
            </w:r>
          </w:p>
        </w:tc>
      </w:tr>
      <w:tr w:rsidR="00885640" w:rsidRPr="001E3A0E" w14:paraId="4C18E953"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60F8423" w14:textId="77777777" w:rsidR="00885640" w:rsidRPr="001E3A0E" w:rsidRDefault="00885640" w:rsidP="00885640">
            <w:pPr>
              <w:rPr>
                <w:szCs w:val="20"/>
              </w:rPr>
            </w:pPr>
            <w:r w:rsidRPr="001E3A0E">
              <w:rPr>
                <w:szCs w:val="20"/>
              </w:rPr>
              <w:t xml:space="preserve">36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CE0F3" w14:textId="77777777" w:rsidR="00885640" w:rsidRPr="001E3A0E" w:rsidRDefault="00885640" w:rsidP="00885640">
            <w:pPr>
              <w:rPr>
                <w:szCs w:val="20"/>
              </w:rPr>
            </w:pPr>
            <w:r w:rsidRPr="001E3A0E">
              <w:rPr>
                <w:noProof/>
                <w:szCs w:val="20"/>
              </w:rPr>
              <w:t>Gobbens and van der Ploeg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E8086" w14:textId="77777777" w:rsidR="00885640" w:rsidRPr="001E3A0E" w:rsidRDefault="00885640" w:rsidP="00885640">
            <w:pPr>
              <w:rPr>
                <w:szCs w:val="20"/>
              </w:rPr>
            </w:pPr>
            <w:r w:rsidRPr="001E3A0E">
              <w:rPr>
                <w:szCs w:val="20"/>
              </w:rPr>
              <w:t>The Netherlands (Roosendaal)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58200" w14:textId="77777777" w:rsidR="00885640" w:rsidRPr="001E3A0E" w:rsidRDefault="00885640" w:rsidP="00885640">
            <w:pPr>
              <w:rPr>
                <w:szCs w:val="20"/>
              </w:rPr>
            </w:pPr>
            <w:r w:rsidRPr="001E3A0E">
              <w:rPr>
                <w:szCs w:val="20"/>
              </w:rPr>
              <w:t>1154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9145E" w14:textId="77777777" w:rsidR="00885640" w:rsidRPr="001E3A0E" w:rsidRDefault="00885640" w:rsidP="00885640">
            <w:pPr>
              <w:rPr>
                <w:szCs w:val="20"/>
              </w:rPr>
            </w:pPr>
            <w:r w:rsidRPr="001E3A0E">
              <w:rPr>
                <w:szCs w:val="20"/>
              </w:rPr>
              <w:t>80.3 (&gt;=75)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F0FDF" w14:textId="77777777" w:rsidR="00885640" w:rsidRPr="001E3A0E" w:rsidRDefault="00885640" w:rsidP="00885640">
            <w:pPr>
              <w:rPr>
                <w:szCs w:val="20"/>
              </w:rPr>
            </w:pPr>
            <w:r w:rsidRPr="001E3A0E">
              <w:rPr>
                <w:szCs w:val="20"/>
              </w:rPr>
              <w:t>56.8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C0EB" w14:textId="77777777" w:rsidR="00885640" w:rsidRPr="001E3A0E" w:rsidRDefault="00885640" w:rsidP="00885640">
            <w:pPr>
              <w:rPr>
                <w:szCs w:val="20"/>
              </w:rPr>
            </w:pPr>
            <w:r w:rsidRPr="001E3A0E">
              <w:rPr>
                <w:szCs w:val="20"/>
              </w:rPr>
              <w:t>2008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5C837" w14:textId="77777777" w:rsidR="00885640" w:rsidRPr="001E3A0E" w:rsidRDefault="00885640" w:rsidP="00885640">
            <w:pPr>
              <w:rPr>
                <w:szCs w:val="20"/>
              </w:rPr>
            </w:pPr>
            <w:r w:rsidRPr="001E3A0E">
              <w:rPr>
                <w:szCs w:val="20"/>
              </w:rPr>
              <w:t>1,2,3,4,5,</w:t>
            </w:r>
            <w:proofErr w:type="gramStart"/>
            <w:r w:rsidRPr="001E3A0E">
              <w:rPr>
                <w:szCs w:val="20"/>
              </w:rPr>
              <w:t>6</w:t>
            </w:r>
            <w:proofErr w:type="gramEnd"/>
            <w:r w:rsidRPr="001E3A0E">
              <w:rPr>
                <w:szCs w:val="20"/>
              </w:rPr>
              <w:t xml:space="preserve"> and 7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E5CF" w14:textId="77777777" w:rsidR="00885640" w:rsidRPr="001E3A0E" w:rsidRDefault="00885640" w:rsidP="00885640">
            <w:pPr>
              <w:rPr>
                <w:szCs w:val="20"/>
              </w:rPr>
            </w:pPr>
            <w:r w:rsidRPr="001E3A0E">
              <w:rPr>
                <w:szCs w:val="20"/>
              </w:rPr>
              <w:t>15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0B64" w14:textId="77777777" w:rsidR="00885640" w:rsidRPr="001E3A0E" w:rsidRDefault="00885640" w:rsidP="00885640">
            <w:pPr>
              <w:rPr>
                <w:szCs w:val="20"/>
              </w:rPr>
            </w:pPr>
            <w:r w:rsidRPr="001E3A0E">
              <w:rPr>
                <w:szCs w:val="20"/>
              </w:rPr>
              <w:t>Frail (FI&gt;=5)</w:t>
            </w:r>
          </w:p>
        </w:tc>
      </w:tr>
      <w:tr w:rsidR="00885640" w:rsidRPr="001E3A0E" w14:paraId="3168E46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2BBE180" w14:textId="77777777" w:rsidR="00885640" w:rsidRPr="001E3A0E" w:rsidRDefault="00885640" w:rsidP="00885640">
            <w:pPr>
              <w:rPr>
                <w:szCs w:val="20"/>
              </w:rPr>
            </w:pPr>
            <w:r w:rsidRPr="001E3A0E">
              <w:rPr>
                <w:szCs w:val="20"/>
              </w:rPr>
              <w:t xml:space="preserve">37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6EF3A" w14:textId="77777777" w:rsidR="00885640" w:rsidRPr="001E3A0E" w:rsidRDefault="00885640" w:rsidP="00885640">
            <w:pPr>
              <w:rPr>
                <w:szCs w:val="20"/>
              </w:rPr>
            </w:pPr>
            <w:r w:rsidRPr="001E3A0E">
              <w:rPr>
                <w:noProof/>
                <w:szCs w:val="20"/>
              </w:rPr>
              <w:t>Drubbel et al. (2013)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44422" w14:textId="77777777" w:rsidR="00885640" w:rsidRPr="001E3A0E" w:rsidRDefault="00885640" w:rsidP="00885640">
            <w:pPr>
              <w:rPr>
                <w:szCs w:val="20"/>
              </w:rPr>
            </w:pPr>
            <w:r w:rsidRPr="001E3A0E">
              <w:rPr>
                <w:szCs w:val="20"/>
              </w:rPr>
              <w:t>The Netherlands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B1CD" w14:textId="77777777" w:rsidR="00885640" w:rsidRPr="001E3A0E" w:rsidRDefault="00885640" w:rsidP="00885640">
            <w:pPr>
              <w:rPr>
                <w:szCs w:val="20"/>
              </w:rPr>
            </w:pPr>
            <w:r w:rsidRPr="001E3A0E">
              <w:rPr>
                <w:szCs w:val="20"/>
              </w:rPr>
              <w:t>1679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036D" w14:textId="77777777" w:rsidR="00885640" w:rsidRPr="001E3A0E" w:rsidRDefault="00885640" w:rsidP="00885640">
            <w:pPr>
              <w:rPr>
                <w:szCs w:val="20"/>
              </w:rPr>
            </w:pPr>
            <w:r w:rsidRPr="001E3A0E">
              <w:rPr>
                <w:szCs w:val="20"/>
              </w:rPr>
              <w:t>median 73 (&gt;=60)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537A" w14:textId="77777777" w:rsidR="00885640" w:rsidRPr="001E3A0E" w:rsidRDefault="00885640" w:rsidP="00885640">
            <w:pPr>
              <w:rPr>
                <w:szCs w:val="20"/>
              </w:rPr>
            </w:pPr>
            <w:r w:rsidRPr="001E3A0E">
              <w:rPr>
                <w:szCs w:val="20"/>
              </w:rPr>
              <w:t>58.8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F31DC" w14:textId="77777777" w:rsidR="00885640" w:rsidRPr="001E3A0E" w:rsidRDefault="00885640" w:rsidP="00885640">
            <w:pPr>
              <w:rPr>
                <w:szCs w:val="20"/>
              </w:rPr>
            </w:pPr>
            <w:r w:rsidRPr="001E3A0E">
              <w:rPr>
                <w:szCs w:val="20"/>
              </w:rPr>
              <w:t>2008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883CA"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49F11"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74257" w14:textId="77777777" w:rsidR="00885640" w:rsidRPr="001E3A0E" w:rsidRDefault="00885640" w:rsidP="00885640">
            <w:pPr>
              <w:rPr>
                <w:szCs w:val="20"/>
              </w:rPr>
            </w:pPr>
            <w:proofErr w:type="spellStart"/>
            <w:r w:rsidRPr="001E3A0E">
              <w:rPr>
                <w:szCs w:val="20"/>
              </w:rPr>
              <w:t>tertile</w:t>
            </w:r>
            <w:proofErr w:type="spellEnd"/>
          </w:p>
        </w:tc>
      </w:tr>
      <w:tr w:rsidR="00885640" w:rsidRPr="001E3A0E" w14:paraId="7FFCF554"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200F8410" w14:textId="77777777" w:rsidR="00885640" w:rsidRPr="001E3A0E" w:rsidRDefault="00885640" w:rsidP="00885640">
            <w:pPr>
              <w:rPr>
                <w:szCs w:val="20"/>
              </w:rPr>
            </w:pPr>
            <w:r w:rsidRPr="001E3A0E">
              <w:rPr>
                <w:szCs w:val="20"/>
              </w:rPr>
              <w:t xml:space="preserve">38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0D37" w14:textId="77777777" w:rsidR="00885640" w:rsidRPr="001E3A0E" w:rsidRDefault="00885640" w:rsidP="00885640">
            <w:pPr>
              <w:rPr>
                <w:szCs w:val="20"/>
              </w:rPr>
            </w:pPr>
            <w:r w:rsidRPr="001E3A0E">
              <w:rPr>
                <w:noProof/>
                <w:szCs w:val="20"/>
              </w:rPr>
              <w:t>Hoogendijk et al.( 2017)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9C1AF" w14:textId="77777777" w:rsidR="00885640" w:rsidRPr="001E3A0E" w:rsidRDefault="00885640" w:rsidP="00885640">
            <w:pPr>
              <w:rPr>
                <w:szCs w:val="20"/>
              </w:rPr>
            </w:pPr>
            <w:r w:rsidRPr="001E3A0E">
              <w:rPr>
                <w:szCs w:val="20"/>
              </w:rPr>
              <w:t>The Netherlands: The Longitudinal Aging Study Amsterdam</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83416" w14:textId="77777777" w:rsidR="00885640" w:rsidRPr="001E3A0E" w:rsidRDefault="00885640" w:rsidP="00885640">
            <w:pPr>
              <w:rPr>
                <w:szCs w:val="20"/>
              </w:rPr>
            </w:pPr>
            <w:r w:rsidRPr="001E3A0E">
              <w:rPr>
                <w:szCs w:val="20"/>
              </w:rPr>
              <w:t>2218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2FDD7" w14:textId="77777777" w:rsidR="00885640" w:rsidRPr="001E3A0E" w:rsidRDefault="00885640" w:rsidP="00885640">
            <w:pPr>
              <w:rPr>
                <w:szCs w:val="20"/>
              </w:rPr>
            </w:pPr>
            <w:r w:rsidRPr="001E3A0E">
              <w:rPr>
                <w:szCs w:val="20"/>
              </w:rPr>
              <w:t>NR (55 - 85)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116BE" w14:textId="77777777" w:rsidR="00885640" w:rsidRPr="001E3A0E" w:rsidRDefault="00885640" w:rsidP="00885640">
            <w:pPr>
              <w:rPr>
                <w:szCs w:val="20"/>
              </w:rPr>
            </w:pPr>
            <w:r w:rsidRPr="001E3A0E">
              <w:rPr>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579C" w14:textId="77777777" w:rsidR="00885640" w:rsidRPr="001E3A0E" w:rsidRDefault="00885640" w:rsidP="00885640">
            <w:pPr>
              <w:rPr>
                <w:szCs w:val="20"/>
              </w:rPr>
            </w:pPr>
            <w:r w:rsidRPr="001E3A0E">
              <w:rPr>
                <w:szCs w:val="20"/>
              </w:rPr>
              <w:t>1995-1996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B452" w14:textId="77777777" w:rsidR="00885640" w:rsidRPr="001E3A0E" w:rsidRDefault="00885640" w:rsidP="00885640">
            <w:pPr>
              <w:rPr>
                <w:szCs w:val="20"/>
              </w:rPr>
            </w:pPr>
            <w:r w:rsidRPr="001E3A0E">
              <w:rPr>
                <w:szCs w:val="20"/>
              </w:rPr>
              <w:t>19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D6D8E" w14:textId="77777777" w:rsidR="00885640" w:rsidRPr="001E3A0E" w:rsidRDefault="00885640" w:rsidP="00885640">
            <w:pPr>
              <w:rPr>
                <w:szCs w:val="20"/>
              </w:rPr>
            </w:pPr>
            <w:r w:rsidRPr="001E3A0E">
              <w:rPr>
                <w:szCs w:val="20"/>
              </w:rPr>
              <w:t>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AA2A" w14:textId="77777777" w:rsidR="00885640" w:rsidRPr="001E3A0E" w:rsidRDefault="00885640" w:rsidP="00885640">
            <w:pPr>
              <w:rPr>
                <w:szCs w:val="20"/>
              </w:rPr>
            </w:pPr>
            <w:r w:rsidRPr="001E3A0E">
              <w:rPr>
                <w:szCs w:val="20"/>
              </w:rPr>
              <w:t>0.10, 0.20, 0.30, 0.40</w:t>
            </w:r>
          </w:p>
        </w:tc>
      </w:tr>
      <w:tr w:rsidR="00885640" w:rsidRPr="001E3A0E" w14:paraId="5D7FF73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265CA32F" w14:textId="77777777" w:rsidR="00885640" w:rsidRPr="001E3A0E" w:rsidRDefault="00885640" w:rsidP="00885640">
            <w:pPr>
              <w:rPr>
                <w:szCs w:val="20"/>
              </w:rPr>
            </w:pPr>
            <w:r w:rsidRPr="001E3A0E">
              <w:rPr>
                <w:szCs w:val="20"/>
              </w:rPr>
              <w:t>39</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D0BBA" w14:textId="77777777" w:rsidR="00885640" w:rsidRPr="001E3A0E" w:rsidRDefault="00885640" w:rsidP="00885640">
            <w:pPr>
              <w:rPr>
                <w:szCs w:val="20"/>
              </w:rPr>
            </w:pPr>
            <w:r w:rsidRPr="001E3A0E">
              <w:rPr>
                <w:noProof/>
                <w:szCs w:val="20"/>
              </w:rPr>
              <w:t>Hoogendijk et al. (2018)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D9E" w14:textId="77777777" w:rsidR="00885640" w:rsidRPr="001E3A0E" w:rsidRDefault="00885640" w:rsidP="00885640">
            <w:pPr>
              <w:rPr>
                <w:szCs w:val="20"/>
              </w:rPr>
            </w:pPr>
            <w:r w:rsidRPr="001E3A0E">
              <w:rPr>
                <w:szCs w:val="20"/>
              </w:rPr>
              <w:t xml:space="preserve">The Netherlands: The Longitudinal Aging Study Amsterdam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E138" w14:textId="77777777" w:rsidR="00885640" w:rsidRPr="001E3A0E" w:rsidRDefault="00885640" w:rsidP="00885640">
            <w:pPr>
              <w:rPr>
                <w:szCs w:val="20"/>
              </w:rPr>
            </w:pPr>
            <w:r w:rsidRPr="001E3A0E">
              <w:rPr>
                <w:szCs w:val="20"/>
              </w:rPr>
              <w:t>1,659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7EB60" w14:textId="77777777" w:rsidR="00885640" w:rsidRPr="001E3A0E" w:rsidRDefault="00885640" w:rsidP="00885640">
            <w:pPr>
              <w:rPr>
                <w:szCs w:val="20"/>
              </w:rPr>
            </w:pPr>
            <w:r w:rsidRPr="001E3A0E">
              <w:rPr>
                <w:szCs w:val="20"/>
              </w:rPr>
              <w:t>75.7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D9E09" w14:textId="77777777" w:rsidR="00885640" w:rsidRPr="001E3A0E" w:rsidRDefault="00885640" w:rsidP="00885640">
            <w:pPr>
              <w:rPr>
                <w:szCs w:val="20"/>
              </w:rPr>
            </w:pPr>
            <w:r w:rsidRPr="001E3A0E">
              <w:rPr>
                <w:szCs w:val="20"/>
              </w:rPr>
              <w:t>52.9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4A925" w14:textId="77777777" w:rsidR="00885640" w:rsidRPr="001E3A0E" w:rsidRDefault="00885640" w:rsidP="00885640">
            <w:pPr>
              <w:rPr>
                <w:szCs w:val="20"/>
              </w:rPr>
            </w:pPr>
            <w:r w:rsidRPr="001E3A0E">
              <w:rPr>
                <w:szCs w:val="20"/>
              </w:rPr>
              <w:t>1995 -1996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9BD3F" w14:textId="77777777" w:rsidR="00885640" w:rsidRPr="001E3A0E" w:rsidRDefault="00885640" w:rsidP="00885640">
            <w:pPr>
              <w:rPr>
                <w:szCs w:val="20"/>
              </w:rPr>
            </w:pPr>
            <w:r w:rsidRPr="001E3A0E">
              <w:rPr>
                <w:szCs w:val="20"/>
              </w:rPr>
              <w:t>17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D455" w14:textId="77777777" w:rsidR="00885640" w:rsidRPr="001E3A0E" w:rsidRDefault="00885640" w:rsidP="00885640">
            <w:pPr>
              <w:rPr>
                <w:szCs w:val="20"/>
              </w:rPr>
            </w:pPr>
            <w:r w:rsidRPr="001E3A0E">
              <w:rPr>
                <w:szCs w:val="20"/>
              </w:rPr>
              <w:t>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78E6D" w14:textId="77777777" w:rsidR="00885640" w:rsidRPr="001E3A0E" w:rsidRDefault="00885640" w:rsidP="00885640">
            <w:pPr>
              <w:rPr>
                <w:szCs w:val="20"/>
              </w:rPr>
            </w:pPr>
            <w:r w:rsidRPr="001E3A0E">
              <w:rPr>
                <w:szCs w:val="20"/>
              </w:rPr>
              <w:t xml:space="preserve">Non-frail (FI&lt;0.25); </w:t>
            </w:r>
            <w:r w:rsidRPr="001E3A0E">
              <w:rPr>
                <w:szCs w:val="20"/>
              </w:rPr>
              <w:br/>
              <w:t>Frail (FI &gt;= 0.25)</w:t>
            </w:r>
          </w:p>
        </w:tc>
      </w:tr>
      <w:tr w:rsidR="00885640" w:rsidRPr="001E3A0E" w14:paraId="3F05D386"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13AD591" w14:textId="77777777" w:rsidR="00885640" w:rsidRPr="001E3A0E" w:rsidRDefault="00885640" w:rsidP="00885640">
            <w:pPr>
              <w:rPr>
                <w:szCs w:val="20"/>
              </w:rPr>
            </w:pPr>
            <w:r w:rsidRPr="001E3A0E">
              <w:rPr>
                <w:szCs w:val="20"/>
              </w:rPr>
              <w:t xml:space="preserve">40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FC916" w14:textId="77777777" w:rsidR="00885640" w:rsidRPr="001E3A0E" w:rsidRDefault="00885640" w:rsidP="00885640">
            <w:pPr>
              <w:rPr>
                <w:szCs w:val="20"/>
              </w:rPr>
            </w:pPr>
            <w:r w:rsidRPr="001E3A0E">
              <w:rPr>
                <w:noProof/>
                <w:szCs w:val="20"/>
              </w:rPr>
              <w:t>Blodgett et al. (2016)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20750" w14:textId="77777777" w:rsidR="00885640" w:rsidRPr="001E3A0E" w:rsidRDefault="00885640" w:rsidP="00885640">
            <w:pPr>
              <w:rPr>
                <w:szCs w:val="20"/>
              </w:rPr>
            </w:pPr>
            <w:r w:rsidRPr="001E3A0E">
              <w:rPr>
                <w:szCs w:val="20"/>
              </w:rPr>
              <w:t>Eight European countries: European Male Aging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F7C59" w14:textId="77777777" w:rsidR="00885640" w:rsidRPr="001E3A0E" w:rsidRDefault="00885640" w:rsidP="00885640">
            <w:pPr>
              <w:rPr>
                <w:szCs w:val="20"/>
              </w:rPr>
            </w:pPr>
            <w:r w:rsidRPr="001E3A0E">
              <w:rPr>
                <w:szCs w:val="20"/>
              </w:rPr>
              <w:t>3369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25EF0" w14:textId="77777777" w:rsidR="00885640" w:rsidRPr="001E3A0E" w:rsidRDefault="00885640" w:rsidP="00885640">
            <w:pPr>
              <w:rPr>
                <w:szCs w:val="20"/>
                <w:vertAlign w:val="superscript"/>
              </w:rPr>
            </w:pPr>
            <w:r w:rsidRPr="001E3A0E">
              <w:rPr>
                <w:szCs w:val="20"/>
              </w:rPr>
              <w:t>60.2 (40 - 79)</w:t>
            </w:r>
            <w:r w:rsidRPr="001E3A0E">
              <w:rPr>
                <w:szCs w:val="20"/>
                <w:vertAlign w:val="superscript"/>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0F9B9" w14:textId="77777777" w:rsidR="00885640" w:rsidRPr="001E3A0E" w:rsidRDefault="00885640" w:rsidP="00885640">
            <w:pPr>
              <w:rPr>
                <w:szCs w:val="20"/>
              </w:rPr>
            </w:pPr>
            <w:r w:rsidRPr="001E3A0E">
              <w:rPr>
                <w:szCs w:val="20"/>
              </w:rPr>
              <w:t>Men only</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148F" w14:textId="77777777" w:rsidR="00885640" w:rsidRPr="001E3A0E" w:rsidRDefault="00885640" w:rsidP="00885640">
            <w:pPr>
              <w:rPr>
                <w:szCs w:val="20"/>
              </w:rPr>
            </w:pPr>
            <w:r w:rsidRPr="001E3A0E">
              <w:rPr>
                <w:szCs w:val="20"/>
              </w:rPr>
              <w:t>2003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9096" w14:textId="77777777" w:rsidR="00885640" w:rsidRPr="001E3A0E" w:rsidRDefault="00885640" w:rsidP="00885640">
            <w:pPr>
              <w:rPr>
                <w:szCs w:val="20"/>
              </w:rPr>
            </w:pPr>
            <w:r w:rsidRPr="001E3A0E">
              <w:rPr>
                <w:szCs w:val="20"/>
              </w:rPr>
              <w:t>4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58DC7" w14:textId="77777777" w:rsidR="00885640" w:rsidRPr="001E3A0E" w:rsidRDefault="00885640" w:rsidP="00885640">
            <w:pPr>
              <w:rPr>
                <w:szCs w:val="20"/>
              </w:rPr>
            </w:pPr>
            <w:r w:rsidRPr="001E3A0E">
              <w:rPr>
                <w:szCs w:val="20"/>
              </w:rPr>
              <w:t>39</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CE979" w14:textId="77777777" w:rsidR="00885640" w:rsidRPr="001E3A0E" w:rsidRDefault="00885640" w:rsidP="00885640">
            <w:pPr>
              <w:rPr>
                <w:szCs w:val="20"/>
              </w:rPr>
            </w:pPr>
            <w:r w:rsidRPr="001E3A0E">
              <w:rPr>
                <w:szCs w:val="20"/>
              </w:rPr>
              <w:t>Frailty scores are categorised incrementally</w:t>
            </w:r>
          </w:p>
        </w:tc>
      </w:tr>
      <w:tr w:rsidR="00885640" w:rsidRPr="001E3A0E" w14:paraId="26F5A3F1"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D908C3A" w14:textId="77777777" w:rsidR="00885640" w:rsidRPr="001E3A0E" w:rsidRDefault="00885640" w:rsidP="00885640">
            <w:pPr>
              <w:rPr>
                <w:szCs w:val="20"/>
              </w:rPr>
            </w:pPr>
            <w:r w:rsidRPr="001E3A0E">
              <w:rPr>
                <w:szCs w:val="20"/>
              </w:rPr>
              <w:t xml:space="preserve">41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7107" w14:textId="77777777" w:rsidR="00885640" w:rsidRPr="001E3A0E" w:rsidRDefault="00885640" w:rsidP="00885640">
            <w:pPr>
              <w:rPr>
                <w:szCs w:val="20"/>
              </w:rPr>
            </w:pPr>
            <w:r w:rsidRPr="001E3A0E">
              <w:rPr>
                <w:noProof/>
                <w:szCs w:val="20"/>
              </w:rPr>
              <w:t>Jazbar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CD8DB" w14:textId="77777777" w:rsidR="00885640" w:rsidRPr="001E3A0E" w:rsidRDefault="00885640" w:rsidP="00885640">
            <w:pPr>
              <w:rPr>
                <w:szCs w:val="20"/>
              </w:rPr>
            </w:pPr>
            <w:r w:rsidRPr="001E3A0E">
              <w:rPr>
                <w:szCs w:val="20"/>
              </w:rPr>
              <w:t>Europe: Survey of Health, Ageing and Retirement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8360D" w14:textId="77777777" w:rsidR="00885640" w:rsidRPr="001E3A0E" w:rsidRDefault="00885640" w:rsidP="00885640">
            <w:pPr>
              <w:rPr>
                <w:szCs w:val="20"/>
              </w:rPr>
            </w:pPr>
            <w:r w:rsidRPr="001E3A0E">
              <w:rPr>
                <w:szCs w:val="20"/>
              </w:rPr>
              <w:t>25225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9186" w14:textId="77777777" w:rsidR="00885640" w:rsidRPr="001E3A0E" w:rsidRDefault="00885640" w:rsidP="00885640">
            <w:pPr>
              <w:rPr>
                <w:szCs w:val="20"/>
              </w:rPr>
            </w:pPr>
            <w:r w:rsidRPr="001E3A0E">
              <w:rPr>
                <w:szCs w:val="20"/>
              </w:rPr>
              <w:t>73.8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A4CE" w14:textId="77777777" w:rsidR="00885640" w:rsidRPr="001E3A0E" w:rsidRDefault="00885640" w:rsidP="00885640">
            <w:pPr>
              <w:rPr>
                <w:szCs w:val="20"/>
              </w:rPr>
            </w:pPr>
            <w:r w:rsidRPr="001E3A0E">
              <w:rPr>
                <w:szCs w:val="20"/>
              </w:rPr>
              <w:t>55.5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C7EF3" w14:textId="77777777" w:rsidR="00885640" w:rsidRPr="001E3A0E" w:rsidRDefault="00885640" w:rsidP="00885640">
            <w:pPr>
              <w:rPr>
                <w:szCs w:val="20"/>
              </w:rPr>
            </w:pPr>
            <w:r w:rsidRPr="001E3A0E">
              <w:rPr>
                <w:szCs w:val="20"/>
              </w:rPr>
              <w:t>2013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23E4"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0C616" w14:textId="77777777" w:rsidR="00885640" w:rsidRPr="001E3A0E" w:rsidRDefault="00885640" w:rsidP="00885640">
            <w:pPr>
              <w:rPr>
                <w:szCs w:val="20"/>
              </w:rPr>
            </w:pPr>
            <w:r w:rsidRPr="001E3A0E">
              <w:rPr>
                <w:szCs w:val="20"/>
              </w:rPr>
              <w:t>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BEED1" w14:textId="77777777" w:rsidR="00885640" w:rsidRPr="001E3A0E" w:rsidRDefault="00885640" w:rsidP="00885640">
            <w:pPr>
              <w:rPr>
                <w:szCs w:val="20"/>
              </w:rPr>
            </w:pPr>
            <w:r w:rsidRPr="001E3A0E">
              <w:rPr>
                <w:szCs w:val="20"/>
              </w:rPr>
              <w:t>Frail (FI&gt;=0.25)</w:t>
            </w:r>
          </w:p>
        </w:tc>
      </w:tr>
      <w:tr w:rsidR="00885640" w:rsidRPr="001E3A0E" w14:paraId="61A839C9"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389F0A20" w14:textId="77777777" w:rsidR="00885640" w:rsidRPr="001E3A0E" w:rsidRDefault="00885640" w:rsidP="00885640">
            <w:pPr>
              <w:rPr>
                <w:szCs w:val="20"/>
              </w:rPr>
            </w:pPr>
            <w:r w:rsidRPr="001E3A0E">
              <w:rPr>
                <w:szCs w:val="20"/>
              </w:rPr>
              <w:t xml:space="preserve">42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44298" w14:textId="77777777" w:rsidR="00885640" w:rsidRPr="001E3A0E" w:rsidRDefault="00885640" w:rsidP="00885640">
            <w:pPr>
              <w:rPr>
                <w:szCs w:val="20"/>
              </w:rPr>
            </w:pPr>
            <w:r w:rsidRPr="001E3A0E">
              <w:rPr>
                <w:noProof/>
                <w:szCs w:val="20"/>
              </w:rPr>
              <w:t>Romero-Ortuno and Kenny (2012)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B9A4F" w14:textId="77777777" w:rsidR="00885640" w:rsidRPr="001E3A0E" w:rsidRDefault="00885640" w:rsidP="00885640">
            <w:pPr>
              <w:rPr>
                <w:szCs w:val="20"/>
              </w:rPr>
            </w:pPr>
            <w:r w:rsidRPr="001E3A0E">
              <w:rPr>
                <w:szCs w:val="20"/>
              </w:rPr>
              <w:t>Europe: The Survey of Health, Ageing and</w:t>
            </w:r>
            <w:r w:rsidRPr="001E3A0E">
              <w:rPr>
                <w:szCs w:val="20"/>
              </w:rPr>
              <w:br/>
              <w:t>Retirement in Europe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BA169" w14:textId="77777777" w:rsidR="00885640" w:rsidRPr="001E3A0E" w:rsidRDefault="00885640" w:rsidP="00885640">
            <w:pPr>
              <w:rPr>
                <w:szCs w:val="20"/>
              </w:rPr>
            </w:pPr>
            <w:r w:rsidRPr="001E3A0E">
              <w:rPr>
                <w:szCs w:val="20"/>
              </w:rPr>
              <w:t>29905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C3BBF" w14:textId="77777777" w:rsidR="00885640" w:rsidRPr="001E3A0E" w:rsidRDefault="00885640" w:rsidP="00885640">
            <w:pPr>
              <w:rPr>
                <w:szCs w:val="20"/>
              </w:rPr>
            </w:pPr>
            <w:r w:rsidRPr="001E3A0E">
              <w:rPr>
                <w:szCs w:val="20"/>
              </w:rPr>
              <w:t>NR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CD8F1" w14:textId="77777777" w:rsidR="00885640" w:rsidRPr="001E3A0E" w:rsidRDefault="00885640" w:rsidP="00885640">
            <w:pPr>
              <w:rPr>
                <w:szCs w:val="20"/>
              </w:rPr>
            </w:pPr>
            <w:r w:rsidRPr="001E3A0E">
              <w:rPr>
                <w:szCs w:val="20"/>
              </w:rPr>
              <w:t>54.2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B6520" w14:textId="77777777" w:rsidR="00885640" w:rsidRPr="001E3A0E" w:rsidRDefault="00885640" w:rsidP="00885640">
            <w:pPr>
              <w:rPr>
                <w:szCs w:val="20"/>
              </w:rPr>
            </w:pPr>
            <w:r w:rsidRPr="001E3A0E">
              <w:rPr>
                <w:szCs w:val="20"/>
              </w:rPr>
              <w:t>2004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352B7" w14:textId="77777777" w:rsidR="00885640" w:rsidRPr="001E3A0E" w:rsidRDefault="00885640" w:rsidP="00885640">
            <w:pPr>
              <w:rPr>
                <w:szCs w:val="20"/>
              </w:rPr>
            </w:pPr>
            <w:r w:rsidRPr="001E3A0E">
              <w:rPr>
                <w:szCs w:val="20"/>
              </w:rPr>
              <w:t>1 year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92B5F" w14:textId="77777777" w:rsidR="00885640" w:rsidRPr="001E3A0E" w:rsidRDefault="00885640" w:rsidP="00885640">
            <w:pPr>
              <w:rPr>
                <w:szCs w:val="20"/>
              </w:rPr>
            </w:pPr>
            <w:r w:rsidRPr="001E3A0E">
              <w:rPr>
                <w:szCs w:val="20"/>
              </w:rPr>
              <w:t>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19CC7" w14:textId="77777777" w:rsidR="00885640" w:rsidRPr="001E3A0E" w:rsidRDefault="00885640" w:rsidP="00885640">
            <w:pPr>
              <w:rPr>
                <w:szCs w:val="20"/>
              </w:rPr>
            </w:pPr>
            <w:r w:rsidRPr="001E3A0E">
              <w:rPr>
                <w:szCs w:val="20"/>
              </w:rPr>
              <w:t>quartile</w:t>
            </w:r>
          </w:p>
        </w:tc>
      </w:tr>
      <w:tr w:rsidR="00885640" w:rsidRPr="001E3A0E" w14:paraId="7EF510C4"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DBDB667" w14:textId="77777777" w:rsidR="00885640" w:rsidRPr="001E3A0E" w:rsidRDefault="00885640" w:rsidP="00885640">
            <w:pPr>
              <w:rPr>
                <w:szCs w:val="20"/>
              </w:rPr>
            </w:pPr>
            <w:r w:rsidRPr="001E3A0E">
              <w:rPr>
                <w:szCs w:val="20"/>
              </w:rPr>
              <w:t>43</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B53DA" w14:textId="77777777" w:rsidR="00885640" w:rsidRPr="001E3A0E" w:rsidRDefault="00885640" w:rsidP="00885640">
            <w:pPr>
              <w:rPr>
                <w:szCs w:val="20"/>
              </w:rPr>
            </w:pPr>
            <w:r w:rsidRPr="001E3A0E">
              <w:rPr>
                <w:noProof/>
                <w:szCs w:val="20"/>
              </w:rPr>
              <w:t>Romero‐Ortuno (2014)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CA225" w14:textId="77777777" w:rsidR="00885640" w:rsidRPr="001E3A0E" w:rsidRDefault="00885640" w:rsidP="00885640">
            <w:pPr>
              <w:rPr>
                <w:szCs w:val="20"/>
              </w:rPr>
            </w:pPr>
            <w:r w:rsidRPr="001E3A0E">
              <w:rPr>
                <w:szCs w:val="20"/>
              </w:rPr>
              <w:t>Europe: The Survey of Health, Ageing and</w:t>
            </w:r>
            <w:r w:rsidRPr="001E3A0E">
              <w:rPr>
                <w:szCs w:val="20"/>
              </w:rPr>
              <w:br/>
              <w:t>Retirement in Europe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53803" w14:textId="77777777" w:rsidR="00885640" w:rsidRPr="001E3A0E" w:rsidRDefault="00885640" w:rsidP="00885640">
            <w:pPr>
              <w:rPr>
                <w:szCs w:val="20"/>
              </w:rPr>
            </w:pPr>
            <w:r w:rsidRPr="001E3A0E">
              <w:rPr>
                <w:szCs w:val="20"/>
              </w:rPr>
              <w:t>29905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AB5F" w14:textId="77777777" w:rsidR="00885640" w:rsidRPr="001E3A0E" w:rsidRDefault="00885640" w:rsidP="00885640">
            <w:pPr>
              <w:rPr>
                <w:szCs w:val="20"/>
              </w:rPr>
            </w:pPr>
            <w:r w:rsidRPr="001E3A0E">
              <w:rPr>
                <w:szCs w:val="20"/>
              </w:rPr>
              <w:t>NR (&gt;=50)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54503" w14:textId="77777777" w:rsidR="00885640" w:rsidRPr="001E3A0E" w:rsidRDefault="00885640" w:rsidP="00885640">
            <w:pPr>
              <w:rPr>
                <w:szCs w:val="20"/>
              </w:rPr>
            </w:pPr>
            <w:r w:rsidRPr="001E3A0E">
              <w:rPr>
                <w:szCs w:val="20"/>
              </w:rPr>
              <w:t>54.2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55457" w14:textId="77777777" w:rsidR="00885640" w:rsidRPr="001E3A0E" w:rsidRDefault="00885640" w:rsidP="00885640">
            <w:pPr>
              <w:rPr>
                <w:szCs w:val="20"/>
              </w:rPr>
            </w:pPr>
            <w:r w:rsidRPr="001E3A0E">
              <w:rPr>
                <w:szCs w:val="20"/>
              </w:rPr>
              <w:t>2004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55B0" w14:textId="77777777" w:rsidR="00885640" w:rsidRPr="001E3A0E" w:rsidRDefault="00885640" w:rsidP="00885640">
            <w:pPr>
              <w:rPr>
                <w:szCs w:val="20"/>
              </w:rPr>
            </w:pPr>
            <w:r w:rsidRPr="001E3A0E">
              <w:rPr>
                <w:szCs w:val="20"/>
              </w:rPr>
              <w:t>1 year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110BD" w14:textId="77777777" w:rsidR="00885640" w:rsidRPr="001E3A0E" w:rsidRDefault="00885640" w:rsidP="00885640">
            <w:pPr>
              <w:rPr>
                <w:szCs w:val="20"/>
              </w:rPr>
            </w:pPr>
            <w:r w:rsidRPr="001E3A0E">
              <w:rPr>
                <w:szCs w:val="20"/>
              </w:rPr>
              <w:t>40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BE74B" w14:textId="77777777" w:rsidR="00885640" w:rsidRPr="001E3A0E" w:rsidRDefault="00885640" w:rsidP="00885640">
            <w:pPr>
              <w:rPr>
                <w:szCs w:val="20"/>
              </w:rPr>
            </w:pPr>
            <w:r w:rsidRPr="001E3A0E">
              <w:rPr>
                <w:szCs w:val="20"/>
              </w:rPr>
              <w:t>quartile</w:t>
            </w:r>
          </w:p>
        </w:tc>
      </w:tr>
      <w:tr w:rsidR="00885640" w:rsidRPr="001E3A0E" w14:paraId="2B793162"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A913E52" w14:textId="77777777" w:rsidR="00885640" w:rsidRPr="001E3A0E" w:rsidRDefault="00885640" w:rsidP="00885640">
            <w:pPr>
              <w:rPr>
                <w:szCs w:val="20"/>
              </w:rPr>
            </w:pPr>
            <w:r w:rsidRPr="001E3A0E">
              <w:rPr>
                <w:szCs w:val="20"/>
              </w:rPr>
              <w:t xml:space="preserve">44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80DE" w14:textId="77777777" w:rsidR="00885640" w:rsidRPr="001E3A0E" w:rsidRDefault="00885640" w:rsidP="00885640">
            <w:pPr>
              <w:rPr>
                <w:szCs w:val="20"/>
              </w:rPr>
            </w:pPr>
            <w:r w:rsidRPr="001E3A0E">
              <w:rPr>
                <w:noProof/>
                <w:szCs w:val="20"/>
              </w:rPr>
              <w:t>Hyde et al. (2016)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C9D84" w14:textId="77777777" w:rsidR="00885640" w:rsidRPr="001E3A0E" w:rsidRDefault="00885640" w:rsidP="00885640">
            <w:pPr>
              <w:rPr>
                <w:szCs w:val="20"/>
              </w:rPr>
            </w:pPr>
            <w:r w:rsidRPr="001E3A0E">
              <w:rPr>
                <w:szCs w:val="20"/>
              </w:rPr>
              <w:t>Australia: Kimberly region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394C4" w14:textId="77777777" w:rsidR="00885640" w:rsidRPr="001E3A0E" w:rsidRDefault="00885640" w:rsidP="00885640">
            <w:pPr>
              <w:rPr>
                <w:szCs w:val="20"/>
              </w:rPr>
            </w:pPr>
            <w:r w:rsidRPr="001E3A0E">
              <w:rPr>
                <w:szCs w:val="20"/>
              </w:rPr>
              <w:t>363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EE571" w14:textId="77777777" w:rsidR="00885640" w:rsidRPr="001E3A0E" w:rsidRDefault="00885640" w:rsidP="00885640">
            <w:pPr>
              <w:rPr>
                <w:szCs w:val="20"/>
              </w:rPr>
            </w:pPr>
            <w:r w:rsidRPr="001E3A0E">
              <w:rPr>
                <w:szCs w:val="20"/>
              </w:rPr>
              <w:t>60.7 (≥45)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4F4E9" w14:textId="77777777" w:rsidR="00885640" w:rsidRPr="001E3A0E" w:rsidRDefault="00885640" w:rsidP="00885640">
            <w:pPr>
              <w:rPr>
                <w:szCs w:val="20"/>
              </w:rPr>
            </w:pPr>
            <w:r w:rsidRPr="001E3A0E">
              <w:rPr>
                <w:szCs w:val="20"/>
              </w:rPr>
              <w:t>54.5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44A22" w14:textId="77777777" w:rsidR="00885640" w:rsidRPr="001E3A0E" w:rsidRDefault="00885640" w:rsidP="00885640">
            <w:pPr>
              <w:rPr>
                <w:szCs w:val="20"/>
              </w:rPr>
            </w:pPr>
            <w:r w:rsidRPr="001E3A0E">
              <w:rPr>
                <w:szCs w:val="20"/>
              </w:rPr>
              <w:t>2004 -2006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D0319" w14:textId="77777777" w:rsidR="00885640" w:rsidRPr="001E3A0E" w:rsidRDefault="00885640" w:rsidP="00885640">
            <w:pPr>
              <w:rPr>
                <w:szCs w:val="20"/>
              </w:rPr>
            </w:pPr>
            <w:r w:rsidRPr="001E3A0E">
              <w:rPr>
                <w:szCs w:val="20"/>
              </w:rPr>
              <w:t>7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C9C97" w14:textId="77777777" w:rsidR="00885640" w:rsidRPr="001E3A0E" w:rsidRDefault="00885640" w:rsidP="00885640">
            <w:pPr>
              <w:rPr>
                <w:szCs w:val="20"/>
              </w:rPr>
            </w:pPr>
            <w:r w:rsidRPr="001E3A0E">
              <w:rPr>
                <w:szCs w:val="20"/>
              </w:rPr>
              <w:t>20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23C5" w14:textId="77777777" w:rsidR="00885640" w:rsidRPr="001E3A0E" w:rsidRDefault="00885640" w:rsidP="00885640">
            <w:pPr>
              <w:rPr>
                <w:szCs w:val="20"/>
              </w:rPr>
            </w:pPr>
            <w:r w:rsidRPr="001E3A0E">
              <w:rPr>
                <w:szCs w:val="20"/>
              </w:rPr>
              <w:t xml:space="preserve">Non-frail (FI&lt;0.2); </w:t>
            </w:r>
            <w:r w:rsidRPr="001E3A0E">
              <w:rPr>
                <w:szCs w:val="20"/>
              </w:rPr>
              <w:br/>
              <w:t>Frail (FI &gt;= 0.2)</w:t>
            </w:r>
          </w:p>
        </w:tc>
      </w:tr>
      <w:tr w:rsidR="00885640" w:rsidRPr="001E3A0E" w14:paraId="55C379F7"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636836E5" w14:textId="77777777" w:rsidR="00885640" w:rsidRPr="001E3A0E" w:rsidRDefault="00885640" w:rsidP="00885640">
            <w:pPr>
              <w:rPr>
                <w:szCs w:val="20"/>
              </w:rPr>
            </w:pPr>
            <w:r w:rsidRPr="001E3A0E">
              <w:rPr>
                <w:szCs w:val="20"/>
              </w:rPr>
              <w:t xml:space="preserve">45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ED52C" w14:textId="77777777" w:rsidR="00885640" w:rsidRPr="001E3A0E" w:rsidRDefault="00885640" w:rsidP="00885640">
            <w:pPr>
              <w:rPr>
                <w:szCs w:val="20"/>
              </w:rPr>
            </w:pPr>
            <w:r w:rsidRPr="001E3A0E">
              <w:rPr>
                <w:noProof/>
                <w:szCs w:val="20"/>
              </w:rPr>
              <w:t>Siejka et al. (2020)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4B4A1" w14:textId="77777777" w:rsidR="00885640" w:rsidRPr="001E3A0E" w:rsidRDefault="00885640" w:rsidP="00885640">
            <w:pPr>
              <w:rPr>
                <w:szCs w:val="20"/>
              </w:rPr>
            </w:pPr>
            <w:r w:rsidRPr="001E3A0E">
              <w:rPr>
                <w:szCs w:val="20"/>
              </w:rPr>
              <w:t>Australia (Tasmania): The Tasmanian Study of Cognition and Gait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24E71" w14:textId="77777777" w:rsidR="00885640" w:rsidRPr="001E3A0E" w:rsidRDefault="00885640" w:rsidP="00885640">
            <w:pPr>
              <w:rPr>
                <w:szCs w:val="20"/>
              </w:rPr>
            </w:pPr>
            <w:r w:rsidRPr="001E3A0E">
              <w:rPr>
                <w:szCs w:val="20"/>
              </w:rPr>
              <w:t>388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8299A" w14:textId="77777777" w:rsidR="00885640" w:rsidRPr="001E3A0E" w:rsidRDefault="00885640" w:rsidP="00885640">
            <w:pPr>
              <w:rPr>
                <w:szCs w:val="20"/>
              </w:rPr>
            </w:pPr>
            <w:r w:rsidRPr="001E3A0E">
              <w:rPr>
                <w:szCs w:val="20"/>
              </w:rPr>
              <w:t>72.0 (65 - 80)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F001" w14:textId="77777777" w:rsidR="00885640" w:rsidRPr="001E3A0E" w:rsidRDefault="00885640" w:rsidP="00885640">
            <w:pPr>
              <w:rPr>
                <w:szCs w:val="20"/>
              </w:rPr>
            </w:pPr>
            <w:r w:rsidRPr="001E3A0E">
              <w:rPr>
                <w:szCs w:val="20"/>
              </w:rPr>
              <w:t>44.0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44855" w14:textId="77777777" w:rsidR="00885640" w:rsidRPr="001E3A0E" w:rsidRDefault="00885640" w:rsidP="00885640">
            <w:pPr>
              <w:rPr>
                <w:szCs w:val="20"/>
              </w:rPr>
            </w:pPr>
            <w:r w:rsidRPr="001E3A0E">
              <w:rPr>
                <w:szCs w:val="20"/>
              </w:rPr>
              <w:t>2005-2008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A2EC" w14:textId="77777777" w:rsidR="00885640" w:rsidRPr="001E3A0E" w:rsidRDefault="00885640" w:rsidP="00885640">
            <w:pPr>
              <w:rPr>
                <w:szCs w:val="20"/>
              </w:rPr>
            </w:pPr>
            <w:r w:rsidRPr="001E3A0E">
              <w:rPr>
                <w:szCs w:val="20"/>
              </w:rPr>
              <w:t>every 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FA80" w14:textId="77777777" w:rsidR="00885640" w:rsidRPr="001E3A0E" w:rsidRDefault="00885640" w:rsidP="00885640">
            <w:pPr>
              <w:rPr>
                <w:szCs w:val="20"/>
              </w:rPr>
            </w:pPr>
            <w:r w:rsidRPr="001E3A0E">
              <w:rPr>
                <w:szCs w:val="20"/>
              </w:rPr>
              <w:t>41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3ADE7" w14:textId="77777777" w:rsidR="00885640" w:rsidRPr="001E3A0E" w:rsidRDefault="00885640" w:rsidP="00885640">
            <w:pPr>
              <w:rPr>
                <w:szCs w:val="20"/>
              </w:rPr>
            </w:pPr>
            <w:r w:rsidRPr="001E3A0E">
              <w:rPr>
                <w:szCs w:val="20"/>
              </w:rPr>
              <w:t>NR</w:t>
            </w:r>
          </w:p>
        </w:tc>
      </w:tr>
      <w:tr w:rsidR="00885640" w:rsidRPr="001E3A0E" w14:paraId="34DA9C2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72AED18" w14:textId="77777777" w:rsidR="00885640" w:rsidRPr="001E3A0E" w:rsidRDefault="00885640" w:rsidP="00885640">
            <w:pPr>
              <w:rPr>
                <w:szCs w:val="20"/>
              </w:rPr>
            </w:pPr>
            <w:r w:rsidRPr="001E3A0E">
              <w:rPr>
                <w:szCs w:val="20"/>
              </w:rPr>
              <w:t xml:space="preserve">46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68EEE" w14:textId="77777777" w:rsidR="00885640" w:rsidRPr="001E3A0E" w:rsidRDefault="00885640" w:rsidP="00885640">
            <w:pPr>
              <w:rPr>
                <w:szCs w:val="20"/>
              </w:rPr>
            </w:pPr>
            <w:r w:rsidRPr="001E3A0E">
              <w:rPr>
                <w:noProof/>
                <w:szCs w:val="20"/>
              </w:rPr>
              <w:t>de Souto Barreto et al. (2018)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18CD" w14:textId="77777777" w:rsidR="00885640" w:rsidRPr="001E3A0E" w:rsidRDefault="00885640" w:rsidP="00885640">
            <w:pPr>
              <w:rPr>
                <w:szCs w:val="20"/>
              </w:rPr>
            </w:pPr>
            <w:r w:rsidRPr="001E3A0E">
              <w:rPr>
                <w:szCs w:val="20"/>
              </w:rPr>
              <w:t>France: Multidomain Alzheimer's Preventive Trial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2503C" w14:textId="77777777" w:rsidR="00885640" w:rsidRPr="001E3A0E" w:rsidRDefault="00885640" w:rsidP="00885640">
            <w:pPr>
              <w:rPr>
                <w:szCs w:val="20"/>
              </w:rPr>
            </w:pPr>
            <w:r w:rsidRPr="001E3A0E">
              <w:rPr>
                <w:szCs w:val="20"/>
              </w:rPr>
              <w:t>Control group: 842; Multidomain group: 837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CC684" w14:textId="77777777" w:rsidR="00885640" w:rsidRPr="001E3A0E" w:rsidRDefault="00885640" w:rsidP="00885640">
            <w:pPr>
              <w:rPr>
                <w:szCs w:val="20"/>
              </w:rPr>
            </w:pPr>
            <w:r w:rsidRPr="001E3A0E">
              <w:rPr>
                <w:szCs w:val="20"/>
              </w:rPr>
              <w:t>Control: 75.3 (&gt;=70); Multidomain group: 75.3 (&gt;=70)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A30E" w14:textId="77777777" w:rsidR="00885640" w:rsidRPr="001E3A0E" w:rsidRDefault="00885640" w:rsidP="00885640">
            <w:pPr>
              <w:rPr>
                <w:szCs w:val="20"/>
              </w:rPr>
            </w:pPr>
            <w:r w:rsidRPr="001E3A0E">
              <w:rPr>
                <w:szCs w:val="20"/>
              </w:rPr>
              <w:t>Control group: 65.0; Multidomain group: 64.3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3EF2E"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BA029" w14:textId="77777777" w:rsidR="00885640" w:rsidRPr="001E3A0E" w:rsidRDefault="00885640" w:rsidP="00885640">
            <w:pPr>
              <w:rPr>
                <w:szCs w:val="20"/>
              </w:rPr>
            </w:pPr>
            <w:r w:rsidRPr="001E3A0E">
              <w:rPr>
                <w:szCs w:val="20"/>
              </w:rPr>
              <w:t>6 months; 1, 2 and 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3223" w14:textId="77777777" w:rsidR="00885640" w:rsidRPr="001E3A0E" w:rsidRDefault="00885640" w:rsidP="00885640">
            <w:pPr>
              <w:rPr>
                <w:szCs w:val="20"/>
              </w:rPr>
            </w:pPr>
            <w:r w:rsidRPr="001E3A0E">
              <w:rPr>
                <w:szCs w:val="20"/>
              </w:rPr>
              <w:t>32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C6279" w14:textId="77777777" w:rsidR="00885640" w:rsidRPr="001E3A0E" w:rsidRDefault="00885640" w:rsidP="00885640">
            <w:pPr>
              <w:rPr>
                <w:szCs w:val="20"/>
              </w:rPr>
            </w:pPr>
            <w:r w:rsidRPr="001E3A0E">
              <w:rPr>
                <w:szCs w:val="20"/>
              </w:rPr>
              <w:t>Frail (FI&gt;=0.25)</w:t>
            </w:r>
          </w:p>
        </w:tc>
      </w:tr>
      <w:tr w:rsidR="00885640" w:rsidRPr="001E3A0E" w14:paraId="0581AC6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1A5D9CA" w14:textId="77777777" w:rsidR="00885640" w:rsidRPr="001E3A0E" w:rsidRDefault="00885640" w:rsidP="00885640">
            <w:pPr>
              <w:rPr>
                <w:szCs w:val="20"/>
              </w:rPr>
            </w:pPr>
            <w:r w:rsidRPr="001E3A0E">
              <w:rPr>
                <w:szCs w:val="20"/>
              </w:rPr>
              <w:t xml:space="preserve">47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EEC1" w14:textId="77777777" w:rsidR="00885640" w:rsidRPr="001E3A0E" w:rsidRDefault="00885640" w:rsidP="00885640">
            <w:pPr>
              <w:rPr>
                <w:szCs w:val="20"/>
              </w:rPr>
            </w:pPr>
            <w:r w:rsidRPr="001E3A0E">
              <w:rPr>
                <w:noProof/>
                <w:szCs w:val="20"/>
              </w:rPr>
              <w:t>Herr et al. (2015)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429D2" w14:textId="77777777" w:rsidR="00885640" w:rsidRPr="001E3A0E" w:rsidRDefault="00885640" w:rsidP="00885640">
            <w:pPr>
              <w:rPr>
                <w:szCs w:val="20"/>
              </w:rPr>
            </w:pPr>
            <w:r w:rsidRPr="001E3A0E">
              <w:rPr>
                <w:szCs w:val="20"/>
              </w:rPr>
              <w:t>France: SIPAF</w:t>
            </w:r>
            <w:r w:rsidRPr="001E3A0E">
              <w:rPr>
                <w:rStyle w:val="FootnoteReference"/>
                <w:szCs w:val="20"/>
              </w:rPr>
              <w:footnoteReference w:id="3"/>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5309C" w14:textId="77777777" w:rsidR="00885640" w:rsidRPr="001E3A0E" w:rsidRDefault="00885640" w:rsidP="00885640">
            <w:pPr>
              <w:rPr>
                <w:szCs w:val="20"/>
              </w:rPr>
            </w:pPr>
            <w:r w:rsidRPr="001E3A0E">
              <w:rPr>
                <w:szCs w:val="20"/>
              </w:rPr>
              <w:t>2350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6A9E9" w14:textId="77777777" w:rsidR="00885640" w:rsidRPr="001E3A0E" w:rsidRDefault="00885640" w:rsidP="00885640">
            <w:pPr>
              <w:rPr>
                <w:szCs w:val="20"/>
              </w:rPr>
            </w:pPr>
            <w:r w:rsidRPr="001E3A0E">
              <w:rPr>
                <w:szCs w:val="20"/>
              </w:rPr>
              <w:t>83.3 (&gt;=70)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1364C" w14:textId="77777777" w:rsidR="00885640" w:rsidRPr="001E3A0E" w:rsidRDefault="00885640" w:rsidP="00885640">
            <w:pPr>
              <w:rPr>
                <w:szCs w:val="20"/>
              </w:rPr>
            </w:pPr>
            <w:r w:rsidRPr="001E3A0E">
              <w:rPr>
                <w:szCs w:val="20"/>
              </w:rPr>
              <w:t>59.4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CD5C2" w14:textId="77777777" w:rsidR="00885640" w:rsidRPr="001E3A0E" w:rsidRDefault="00885640" w:rsidP="00885640">
            <w:pPr>
              <w:rPr>
                <w:szCs w:val="20"/>
              </w:rPr>
            </w:pPr>
            <w:r w:rsidRPr="001E3A0E">
              <w:rPr>
                <w:szCs w:val="20"/>
              </w:rPr>
              <w:t>2008-2010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12646" w14:textId="77777777" w:rsidR="00885640" w:rsidRPr="001E3A0E" w:rsidRDefault="00885640" w:rsidP="00885640">
            <w:pPr>
              <w:rPr>
                <w:szCs w:val="20"/>
              </w:rPr>
            </w:pPr>
            <w:r w:rsidRPr="001E3A0E">
              <w:rPr>
                <w:szCs w:val="20"/>
              </w:rPr>
              <w:t>Median 2.8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517A" w14:textId="77777777" w:rsidR="00885640" w:rsidRPr="001E3A0E" w:rsidRDefault="00885640" w:rsidP="00885640">
            <w:pPr>
              <w:rPr>
                <w:szCs w:val="20"/>
              </w:rPr>
            </w:pPr>
            <w:r w:rsidRPr="001E3A0E">
              <w:rPr>
                <w:szCs w:val="20"/>
              </w:rPr>
              <w:t>43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08D83" w14:textId="77777777" w:rsidR="00885640" w:rsidRPr="001E3A0E" w:rsidRDefault="00885640" w:rsidP="00885640">
            <w:pPr>
              <w:rPr>
                <w:szCs w:val="20"/>
              </w:rPr>
            </w:pPr>
            <w:r w:rsidRPr="001E3A0E">
              <w:rPr>
                <w:szCs w:val="20"/>
              </w:rPr>
              <w:t>0.11; 0.17; 0.29</w:t>
            </w:r>
          </w:p>
        </w:tc>
      </w:tr>
      <w:tr w:rsidR="00885640" w:rsidRPr="001E3A0E" w14:paraId="48377473"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AC01F78" w14:textId="77777777" w:rsidR="00885640" w:rsidRPr="001E3A0E" w:rsidRDefault="00885640" w:rsidP="00885640">
            <w:pPr>
              <w:rPr>
                <w:szCs w:val="20"/>
              </w:rPr>
            </w:pPr>
            <w:r w:rsidRPr="001E3A0E">
              <w:rPr>
                <w:szCs w:val="20"/>
              </w:rPr>
              <w:t xml:space="preserve">48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42AF1" w14:textId="77777777" w:rsidR="00885640" w:rsidRPr="001E3A0E" w:rsidRDefault="00885640" w:rsidP="00885640">
            <w:pPr>
              <w:rPr>
                <w:szCs w:val="20"/>
              </w:rPr>
            </w:pPr>
            <w:r w:rsidRPr="001E3A0E">
              <w:rPr>
                <w:noProof/>
                <w:szCs w:val="20"/>
              </w:rPr>
              <w:t>Gao et al. (2017)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02C0D" w14:textId="77777777" w:rsidR="00885640" w:rsidRPr="001E3A0E" w:rsidRDefault="00885640" w:rsidP="00885640">
            <w:pPr>
              <w:rPr>
                <w:szCs w:val="20"/>
              </w:rPr>
            </w:pPr>
            <w:r w:rsidRPr="001E3A0E">
              <w:rPr>
                <w:szCs w:val="20"/>
              </w:rPr>
              <w:t>Germany (Saarland): ESTHER</w:t>
            </w:r>
            <w:r w:rsidRPr="001E3A0E">
              <w:rPr>
                <w:rStyle w:val="FootnoteReference"/>
                <w:szCs w:val="20"/>
              </w:rPr>
              <w:footnoteReference w:id="4"/>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DA06" w14:textId="77777777" w:rsidR="00885640" w:rsidRPr="001E3A0E" w:rsidRDefault="00885640" w:rsidP="00885640">
            <w:pPr>
              <w:rPr>
                <w:szCs w:val="20"/>
              </w:rPr>
            </w:pPr>
            <w:r w:rsidRPr="001E3A0E">
              <w:rPr>
                <w:szCs w:val="20"/>
              </w:rPr>
              <w:t>Discovery set:  978; Validation set: 531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CFDB" w14:textId="77777777" w:rsidR="00885640" w:rsidRPr="001E3A0E" w:rsidRDefault="00885640" w:rsidP="00885640">
            <w:pPr>
              <w:rPr>
                <w:szCs w:val="20"/>
              </w:rPr>
            </w:pPr>
            <w:r w:rsidRPr="001E3A0E">
              <w:rPr>
                <w:szCs w:val="20"/>
              </w:rPr>
              <w:t>Discovery set:  62.1 (50 - 75); Validation set: 62.0 (50 - 75)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B677" w14:textId="77777777" w:rsidR="00885640" w:rsidRPr="001E3A0E" w:rsidRDefault="00885640" w:rsidP="00885640">
            <w:pPr>
              <w:rPr>
                <w:szCs w:val="20"/>
              </w:rPr>
            </w:pPr>
            <w:r w:rsidRPr="001E3A0E">
              <w:rPr>
                <w:szCs w:val="20"/>
              </w:rPr>
              <w:t>Discovery set: 49.4%; Validation set: 61%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A5A8" w14:textId="77777777" w:rsidR="00885640" w:rsidRPr="001E3A0E" w:rsidRDefault="00885640" w:rsidP="00885640">
            <w:pPr>
              <w:rPr>
                <w:szCs w:val="20"/>
              </w:rPr>
            </w:pPr>
            <w:r w:rsidRPr="001E3A0E">
              <w:rPr>
                <w:szCs w:val="20"/>
              </w:rPr>
              <w:t>2000-2002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4013D" w14:textId="77777777" w:rsidR="00885640" w:rsidRPr="001E3A0E" w:rsidRDefault="00885640" w:rsidP="00885640">
            <w:pPr>
              <w:rPr>
                <w:szCs w:val="20"/>
              </w:rPr>
            </w:pPr>
            <w:r w:rsidRPr="001E3A0E">
              <w:rPr>
                <w:szCs w:val="20"/>
              </w:rPr>
              <w:t>NR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04784"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4824D" w14:textId="77777777" w:rsidR="00885640" w:rsidRPr="001E3A0E" w:rsidRDefault="00885640" w:rsidP="00885640">
            <w:pPr>
              <w:rPr>
                <w:szCs w:val="20"/>
              </w:rPr>
            </w:pPr>
            <w:r w:rsidRPr="001E3A0E">
              <w:rPr>
                <w:szCs w:val="20"/>
              </w:rPr>
              <w:t xml:space="preserve">Non-frail (FI&lt;=0.20); </w:t>
            </w:r>
            <w:r w:rsidRPr="001E3A0E">
              <w:rPr>
                <w:szCs w:val="20"/>
              </w:rPr>
              <w:br/>
              <w:t>Pre-frail (0.20&lt;FI&lt;0.45);</w:t>
            </w:r>
            <w:r w:rsidRPr="001E3A0E">
              <w:rPr>
                <w:szCs w:val="20"/>
              </w:rPr>
              <w:br/>
              <w:t>Frail (FI &gt;= 0.45)</w:t>
            </w:r>
          </w:p>
        </w:tc>
      </w:tr>
      <w:tr w:rsidR="00885640" w:rsidRPr="001E3A0E" w14:paraId="733CBB47"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27B4DA0" w14:textId="77777777" w:rsidR="00885640" w:rsidRPr="001E3A0E" w:rsidRDefault="00885640" w:rsidP="00885640">
            <w:pPr>
              <w:rPr>
                <w:szCs w:val="20"/>
              </w:rPr>
            </w:pPr>
            <w:r w:rsidRPr="001E3A0E">
              <w:rPr>
                <w:szCs w:val="20"/>
              </w:rPr>
              <w:t xml:space="preserve">49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DB18B" w14:textId="77777777" w:rsidR="00885640" w:rsidRPr="001E3A0E" w:rsidRDefault="00885640" w:rsidP="00885640">
            <w:pPr>
              <w:rPr>
                <w:szCs w:val="20"/>
              </w:rPr>
            </w:pPr>
            <w:r w:rsidRPr="001E3A0E">
              <w:rPr>
                <w:noProof/>
                <w:szCs w:val="20"/>
              </w:rPr>
              <w:t>Saum et al. (2014)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0E0BC" w14:textId="77777777" w:rsidR="00885640" w:rsidRPr="001E3A0E" w:rsidRDefault="00885640" w:rsidP="00885640">
            <w:pPr>
              <w:rPr>
                <w:szCs w:val="20"/>
                <w:vertAlign w:val="superscript"/>
              </w:rPr>
            </w:pPr>
            <w:r w:rsidRPr="001E3A0E">
              <w:rPr>
                <w:szCs w:val="20"/>
              </w:rPr>
              <w:t>Germany (Saarland): ESTHER</w:t>
            </w:r>
            <w:r w:rsidRPr="001E3A0E">
              <w:rPr>
                <w:szCs w:val="20"/>
                <w:vertAlign w:val="superscript"/>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A71D3" w14:textId="77777777" w:rsidR="00885640" w:rsidRPr="001E3A0E" w:rsidRDefault="00885640" w:rsidP="00885640">
            <w:pPr>
              <w:rPr>
                <w:szCs w:val="20"/>
              </w:rPr>
            </w:pPr>
            <w:r w:rsidRPr="001E3A0E">
              <w:rPr>
                <w:szCs w:val="20"/>
              </w:rPr>
              <w:t>9,886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D8A37" w14:textId="77777777" w:rsidR="00885640" w:rsidRPr="001E3A0E" w:rsidRDefault="00885640" w:rsidP="00885640">
            <w:pPr>
              <w:rPr>
                <w:szCs w:val="20"/>
              </w:rPr>
            </w:pPr>
            <w:r w:rsidRPr="001E3A0E">
              <w:rPr>
                <w:szCs w:val="20"/>
              </w:rPr>
              <w:t>62.0 (50 - 75)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1C4C" w14:textId="77777777" w:rsidR="00885640" w:rsidRPr="001E3A0E" w:rsidRDefault="00885640" w:rsidP="00885640">
            <w:pPr>
              <w:rPr>
                <w:szCs w:val="20"/>
              </w:rPr>
            </w:pPr>
            <w:r w:rsidRPr="001E3A0E">
              <w:rPr>
                <w:szCs w:val="20"/>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71EA" w14:textId="77777777" w:rsidR="00885640" w:rsidRPr="001E3A0E" w:rsidRDefault="00885640" w:rsidP="00885640">
            <w:pPr>
              <w:rPr>
                <w:szCs w:val="20"/>
              </w:rPr>
            </w:pPr>
            <w:r w:rsidRPr="001E3A0E">
              <w:rPr>
                <w:szCs w:val="20"/>
              </w:rPr>
              <w:t>200-2002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D03D6" w14:textId="77777777" w:rsidR="00885640" w:rsidRPr="001E3A0E" w:rsidRDefault="00885640" w:rsidP="00885640">
            <w:pPr>
              <w:rPr>
                <w:szCs w:val="20"/>
              </w:rPr>
            </w:pPr>
            <w:r w:rsidRPr="001E3A0E">
              <w:rPr>
                <w:szCs w:val="20"/>
              </w:rPr>
              <w:t>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8FCD0"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89C3" w14:textId="77777777" w:rsidR="00885640" w:rsidRPr="001E3A0E" w:rsidRDefault="00885640" w:rsidP="00885640">
            <w:pPr>
              <w:rPr>
                <w:szCs w:val="20"/>
              </w:rPr>
            </w:pPr>
            <w:r w:rsidRPr="001E3A0E">
              <w:rPr>
                <w:szCs w:val="20"/>
              </w:rPr>
              <w:t>0.05, 0.10, 0.15, 0.20, 0.25, 0.30, 0.35, 0.40, 0.45</w:t>
            </w:r>
          </w:p>
        </w:tc>
      </w:tr>
      <w:tr w:rsidR="00885640" w:rsidRPr="001E3A0E" w14:paraId="458B4C2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BE990E5" w14:textId="77777777" w:rsidR="00885640" w:rsidRPr="001E3A0E" w:rsidRDefault="00885640" w:rsidP="00885640">
            <w:pPr>
              <w:rPr>
                <w:szCs w:val="20"/>
              </w:rPr>
            </w:pPr>
            <w:r w:rsidRPr="001E3A0E">
              <w:rPr>
                <w:szCs w:val="20"/>
              </w:rPr>
              <w:t xml:space="preserve">50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89601" w14:textId="77777777" w:rsidR="00885640" w:rsidRPr="001E3A0E" w:rsidRDefault="00885640" w:rsidP="00885640">
            <w:pPr>
              <w:rPr>
                <w:szCs w:val="20"/>
              </w:rPr>
            </w:pPr>
            <w:r w:rsidRPr="001E3A0E">
              <w:rPr>
                <w:noProof/>
                <w:szCs w:val="20"/>
              </w:rPr>
              <w:t>Jung et al. (2014)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F8519" w14:textId="77777777" w:rsidR="00885640" w:rsidRPr="001E3A0E" w:rsidRDefault="00885640" w:rsidP="00885640">
            <w:pPr>
              <w:rPr>
                <w:szCs w:val="20"/>
              </w:rPr>
            </w:pPr>
            <w:r w:rsidRPr="001E3A0E">
              <w:rPr>
                <w:szCs w:val="20"/>
              </w:rPr>
              <w:t>Korea: Korean Longitudinal Study on Health and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1D6AA" w14:textId="77777777" w:rsidR="00885640" w:rsidRPr="001E3A0E" w:rsidRDefault="00885640" w:rsidP="00885640">
            <w:pPr>
              <w:rPr>
                <w:szCs w:val="20"/>
              </w:rPr>
            </w:pPr>
            <w:r w:rsidRPr="001E3A0E">
              <w:rPr>
                <w:szCs w:val="20"/>
              </w:rPr>
              <w:t>693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515A5" w14:textId="77777777" w:rsidR="00885640" w:rsidRPr="001E3A0E" w:rsidRDefault="00885640" w:rsidP="00885640">
            <w:pPr>
              <w:rPr>
                <w:szCs w:val="20"/>
              </w:rPr>
            </w:pPr>
            <w:r w:rsidRPr="001E3A0E">
              <w:rPr>
                <w:szCs w:val="20"/>
              </w:rPr>
              <w:t>75.9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C2545" w14:textId="77777777" w:rsidR="00885640" w:rsidRPr="001E3A0E" w:rsidRDefault="00885640" w:rsidP="00885640">
            <w:pPr>
              <w:rPr>
                <w:szCs w:val="20"/>
              </w:rPr>
            </w:pPr>
            <w:r w:rsidRPr="001E3A0E">
              <w:rPr>
                <w:szCs w:val="20"/>
              </w:rPr>
              <w:t>50.8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A918" w14:textId="77777777" w:rsidR="00885640" w:rsidRPr="001E3A0E" w:rsidRDefault="00885640" w:rsidP="00885640">
            <w:pPr>
              <w:rPr>
                <w:szCs w:val="20"/>
              </w:rPr>
            </w:pPr>
            <w:r w:rsidRPr="001E3A0E">
              <w:rPr>
                <w:szCs w:val="20"/>
              </w:rPr>
              <w:t>2005-2006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0689" w14:textId="77777777" w:rsidR="00885640" w:rsidRPr="001E3A0E" w:rsidRDefault="00885640" w:rsidP="00885640">
            <w:pPr>
              <w:rPr>
                <w:szCs w:val="20"/>
              </w:rPr>
            </w:pPr>
            <w:r w:rsidRPr="001E3A0E">
              <w:rPr>
                <w:szCs w:val="20"/>
              </w:rPr>
              <w:t>5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9A9B0"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F786A" w14:textId="77777777" w:rsidR="00885640" w:rsidRPr="001E3A0E" w:rsidRDefault="00885640" w:rsidP="00885640">
            <w:pPr>
              <w:rPr>
                <w:szCs w:val="20"/>
              </w:rPr>
            </w:pPr>
            <w:r w:rsidRPr="001E3A0E">
              <w:rPr>
                <w:szCs w:val="20"/>
              </w:rPr>
              <w:t>Pre-frail (0.2&lt;=FI&lt;0.35);</w:t>
            </w:r>
            <w:r w:rsidRPr="001E3A0E">
              <w:rPr>
                <w:szCs w:val="20"/>
              </w:rPr>
              <w:br/>
              <w:t>Frail (FI&gt;=0.35)</w:t>
            </w:r>
          </w:p>
        </w:tc>
      </w:tr>
      <w:tr w:rsidR="00885640" w:rsidRPr="001E3A0E" w14:paraId="587E0D0F"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BF65A1B" w14:textId="77777777" w:rsidR="00885640" w:rsidRPr="001E3A0E" w:rsidRDefault="00885640" w:rsidP="00885640">
            <w:pPr>
              <w:rPr>
                <w:szCs w:val="20"/>
              </w:rPr>
            </w:pPr>
            <w:r w:rsidRPr="001E3A0E">
              <w:rPr>
                <w:szCs w:val="20"/>
              </w:rPr>
              <w:t xml:space="preserve">51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B65AD" w14:textId="77777777" w:rsidR="00885640" w:rsidRPr="001E3A0E" w:rsidRDefault="00885640" w:rsidP="00885640">
            <w:pPr>
              <w:rPr>
                <w:szCs w:val="20"/>
              </w:rPr>
            </w:pPr>
            <w:r w:rsidRPr="001E3A0E">
              <w:rPr>
                <w:noProof/>
                <w:szCs w:val="20"/>
              </w:rPr>
              <w:t>Nari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8433C" w14:textId="77777777" w:rsidR="00885640" w:rsidRPr="001E3A0E" w:rsidRDefault="00885640" w:rsidP="00885640">
            <w:pPr>
              <w:rPr>
                <w:szCs w:val="20"/>
              </w:rPr>
            </w:pPr>
            <w:r w:rsidRPr="001E3A0E">
              <w:rPr>
                <w:szCs w:val="20"/>
              </w:rPr>
              <w:t>Korea: Korean Longitudinal Study of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4723" w14:textId="77777777" w:rsidR="00885640" w:rsidRPr="001E3A0E" w:rsidRDefault="00885640" w:rsidP="00885640">
            <w:pPr>
              <w:rPr>
                <w:szCs w:val="20"/>
              </w:rPr>
            </w:pPr>
            <w:r w:rsidRPr="001E3A0E">
              <w:rPr>
                <w:szCs w:val="20"/>
              </w:rPr>
              <w:t>2375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DEA99" w14:textId="77777777" w:rsidR="00885640" w:rsidRPr="001E3A0E" w:rsidRDefault="00885640" w:rsidP="00885640">
            <w:pPr>
              <w:rPr>
                <w:szCs w:val="20"/>
              </w:rPr>
            </w:pPr>
            <w:r w:rsidRPr="001E3A0E">
              <w:rPr>
                <w:szCs w:val="20"/>
              </w:rPr>
              <w:t>NR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C41B" w14:textId="77777777" w:rsidR="00885640" w:rsidRPr="001E3A0E" w:rsidRDefault="00885640" w:rsidP="00885640">
            <w:pPr>
              <w:rPr>
                <w:szCs w:val="20"/>
              </w:rPr>
            </w:pPr>
            <w:r w:rsidRPr="001E3A0E">
              <w:rPr>
                <w:szCs w:val="20"/>
              </w:rPr>
              <w:t>NR</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8EF18" w14:textId="77777777" w:rsidR="00885640" w:rsidRPr="001E3A0E" w:rsidRDefault="00885640" w:rsidP="00885640">
            <w:pPr>
              <w:rPr>
                <w:szCs w:val="20"/>
              </w:rPr>
            </w:pPr>
            <w:r w:rsidRPr="001E3A0E">
              <w:rPr>
                <w:szCs w:val="20"/>
              </w:rPr>
              <w:t>2008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9106F"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857CF"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D86ED" w14:textId="77777777" w:rsidR="00885640" w:rsidRPr="001E3A0E" w:rsidRDefault="00885640" w:rsidP="00885640">
            <w:pPr>
              <w:rPr>
                <w:szCs w:val="20"/>
              </w:rPr>
            </w:pPr>
            <w:r w:rsidRPr="001E3A0E">
              <w:rPr>
                <w:szCs w:val="20"/>
              </w:rPr>
              <w:t xml:space="preserve">robust (FI&lt;=1); </w:t>
            </w:r>
            <w:r w:rsidRPr="001E3A0E">
              <w:rPr>
                <w:szCs w:val="20"/>
              </w:rPr>
              <w:br/>
              <w:t>pre-frail (1&lt;=FI&lt;=2);</w:t>
            </w:r>
            <w:r w:rsidRPr="001E3A0E">
              <w:rPr>
                <w:szCs w:val="20"/>
              </w:rPr>
              <w:br/>
              <w:t>frail (FI &gt;=2)</w:t>
            </w:r>
          </w:p>
        </w:tc>
      </w:tr>
      <w:tr w:rsidR="00885640" w:rsidRPr="001E3A0E" w14:paraId="7D8E1388"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6C7E5EB" w14:textId="77777777" w:rsidR="00885640" w:rsidRPr="001E3A0E" w:rsidRDefault="00885640" w:rsidP="00885640">
            <w:pPr>
              <w:rPr>
                <w:szCs w:val="20"/>
              </w:rPr>
            </w:pPr>
            <w:r w:rsidRPr="001E3A0E">
              <w:rPr>
                <w:szCs w:val="20"/>
              </w:rPr>
              <w:t xml:space="preserve">52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C50AB" w14:textId="77777777" w:rsidR="00885640" w:rsidRPr="001E3A0E" w:rsidRDefault="00885640" w:rsidP="00885640">
            <w:pPr>
              <w:rPr>
                <w:szCs w:val="20"/>
              </w:rPr>
            </w:pPr>
            <w:r w:rsidRPr="001E3A0E">
              <w:rPr>
                <w:noProof/>
                <w:szCs w:val="20"/>
              </w:rPr>
              <w:t>Hollinghurst et al. (2019)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FAA54" w14:textId="77777777" w:rsidR="00885640" w:rsidRPr="001E3A0E" w:rsidRDefault="00885640" w:rsidP="00885640">
            <w:pPr>
              <w:rPr>
                <w:szCs w:val="20"/>
              </w:rPr>
            </w:pPr>
            <w:r w:rsidRPr="001E3A0E">
              <w:rPr>
                <w:szCs w:val="20"/>
              </w:rPr>
              <w:t>Wales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63C3E" w14:textId="77777777" w:rsidR="00885640" w:rsidRPr="001E3A0E" w:rsidRDefault="00885640" w:rsidP="00885640">
            <w:pPr>
              <w:rPr>
                <w:szCs w:val="20"/>
              </w:rPr>
            </w:pPr>
            <w:r w:rsidRPr="001E3A0E">
              <w:rPr>
                <w:szCs w:val="20"/>
              </w:rPr>
              <w:t>496000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0DA9" w14:textId="77777777" w:rsidR="00885640" w:rsidRPr="001E3A0E" w:rsidRDefault="00885640" w:rsidP="00885640">
            <w:pPr>
              <w:rPr>
                <w:szCs w:val="20"/>
              </w:rPr>
            </w:pPr>
            <w:r w:rsidRPr="001E3A0E">
              <w:rPr>
                <w:szCs w:val="20"/>
              </w:rPr>
              <w:t>75.0 (&gt;= 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2DF0A" w14:textId="77777777" w:rsidR="00885640" w:rsidRPr="001E3A0E" w:rsidRDefault="00885640" w:rsidP="00885640">
            <w:pPr>
              <w:rPr>
                <w:szCs w:val="20"/>
              </w:rPr>
            </w:pPr>
            <w:r w:rsidRPr="001E3A0E">
              <w:rPr>
                <w:szCs w:val="20"/>
              </w:rPr>
              <w:t>55.0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69E2" w14:textId="77777777" w:rsidR="00885640" w:rsidRPr="001E3A0E" w:rsidRDefault="00885640" w:rsidP="00885640">
            <w:pPr>
              <w:rPr>
                <w:szCs w:val="20"/>
              </w:rPr>
            </w:pPr>
            <w:r w:rsidRPr="001E3A0E">
              <w:rPr>
                <w:szCs w:val="20"/>
              </w:rPr>
              <w:t>2000-2009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1E87A" w14:textId="77777777" w:rsidR="00885640" w:rsidRPr="001E3A0E" w:rsidRDefault="00885640" w:rsidP="00885640">
            <w:pPr>
              <w:rPr>
                <w:szCs w:val="20"/>
              </w:rPr>
            </w:pPr>
            <w:r w:rsidRPr="001E3A0E">
              <w:rPr>
                <w:szCs w:val="20"/>
              </w:rPr>
              <w:t>1, 3 and 5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0874F"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3A642" w14:textId="77777777" w:rsidR="00885640" w:rsidRPr="001E3A0E" w:rsidRDefault="00885640" w:rsidP="00885640">
            <w:pPr>
              <w:rPr>
                <w:szCs w:val="20"/>
              </w:rPr>
            </w:pPr>
            <w:r w:rsidRPr="001E3A0E">
              <w:rPr>
                <w:szCs w:val="20"/>
              </w:rPr>
              <w:t>Fit (</w:t>
            </w:r>
            <w:proofErr w:type="spellStart"/>
            <w:r w:rsidRPr="001E3A0E">
              <w:rPr>
                <w:szCs w:val="20"/>
              </w:rPr>
              <w:t>efi</w:t>
            </w:r>
            <w:proofErr w:type="spellEnd"/>
            <w:r w:rsidRPr="001E3A0E">
              <w:rPr>
                <w:szCs w:val="20"/>
              </w:rPr>
              <w:t xml:space="preserve">&lt;=0.12); </w:t>
            </w:r>
            <w:r w:rsidRPr="001E3A0E">
              <w:rPr>
                <w:szCs w:val="20"/>
              </w:rPr>
              <w:br/>
              <w:t>Mild (0.12&lt;</w:t>
            </w:r>
            <w:proofErr w:type="spellStart"/>
            <w:r w:rsidRPr="001E3A0E">
              <w:rPr>
                <w:szCs w:val="20"/>
              </w:rPr>
              <w:t>efi</w:t>
            </w:r>
            <w:proofErr w:type="spellEnd"/>
            <w:r w:rsidRPr="001E3A0E">
              <w:rPr>
                <w:szCs w:val="20"/>
              </w:rPr>
              <w:t>&lt;=0.24);</w:t>
            </w:r>
            <w:r w:rsidRPr="001E3A0E">
              <w:rPr>
                <w:szCs w:val="20"/>
              </w:rPr>
              <w:br/>
              <w:t>Moderate (0.24 &lt;</w:t>
            </w:r>
            <w:proofErr w:type="spellStart"/>
            <w:r w:rsidRPr="001E3A0E">
              <w:rPr>
                <w:szCs w:val="20"/>
              </w:rPr>
              <w:t>efi</w:t>
            </w:r>
            <w:proofErr w:type="spellEnd"/>
            <w:r w:rsidRPr="001E3A0E">
              <w:rPr>
                <w:szCs w:val="20"/>
              </w:rPr>
              <w:t xml:space="preserve"> &lt;= 0.36);</w:t>
            </w:r>
            <w:r w:rsidRPr="001E3A0E">
              <w:rPr>
                <w:szCs w:val="20"/>
              </w:rPr>
              <w:br/>
              <w:t>Severely frail (</w:t>
            </w:r>
            <w:proofErr w:type="spellStart"/>
            <w:r w:rsidRPr="001E3A0E">
              <w:rPr>
                <w:szCs w:val="20"/>
              </w:rPr>
              <w:t>efi</w:t>
            </w:r>
            <w:proofErr w:type="spellEnd"/>
            <w:r w:rsidRPr="001E3A0E">
              <w:rPr>
                <w:szCs w:val="20"/>
              </w:rPr>
              <w:t>&gt;0.36)</w:t>
            </w:r>
          </w:p>
        </w:tc>
      </w:tr>
      <w:tr w:rsidR="00885640" w:rsidRPr="001E3A0E" w14:paraId="4D7EFF87"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E903547" w14:textId="77777777" w:rsidR="00885640" w:rsidRPr="001E3A0E" w:rsidRDefault="00885640" w:rsidP="00885640">
            <w:pPr>
              <w:rPr>
                <w:szCs w:val="20"/>
              </w:rPr>
            </w:pPr>
            <w:r w:rsidRPr="001E3A0E">
              <w:rPr>
                <w:szCs w:val="20"/>
              </w:rPr>
              <w:t xml:space="preserve">53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8BBCA" w14:textId="77777777" w:rsidR="00885640" w:rsidRPr="001E3A0E" w:rsidRDefault="00885640" w:rsidP="00885640">
            <w:pPr>
              <w:rPr>
                <w:szCs w:val="20"/>
              </w:rPr>
            </w:pPr>
            <w:r w:rsidRPr="001E3A0E">
              <w:rPr>
                <w:noProof/>
                <w:szCs w:val="20"/>
              </w:rPr>
              <w:t>Kamaruzzaman et al. (2010)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8E371" w14:textId="77777777" w:rsidR="00885640" w:rsidRPr="001E3A0E" w:rsidRDefault="00885640" w:rsidP="00885640">
            <w:pPr>
              <w:rPr>
                <w:szCs w:val="20"/>
              </w:rPr>
            </w:pPr>
            <w:r w:rsidRPr="001E3A0E">
              <w:rPr>
                <w:szCs w:val="20"/>
              </w:rPr>
              <w:t>Great Britain: The British Women’s Heart and Health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A1C39" w14:textId="77777777" w:rsidR="00885640" w:rsidRPr="001E3A0E" w:rsidRDefault="00885640" w:rsidP="00885640">
            <w:pPr>
              <w:rPr>
                <w:szCs w:val="20"/>
              </w:rPr>
            </w:pPr>
            <w:r w:rsidRPr="001E3A0E">
              <w:rPr>
                <w:szCs w:val="20"/>
              </w:rPr>
              <w:t>NR</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99D10" w14:textId="77777777" w:rsidR="00885640" w:rsidRPr="001E3A0E" w:rsidRDefault="00885640" w:rsidP="00885640">
            <w:pPr>
              <w:rPr>
                <w:szCs w:val="20"/>
              </w:rPr>
            </w:pPr>
            <w:r w:rsidRPr="001E3A0E">
              <w:rPr>
                <w:szCs w:val="20"/>
              </w:rPr>
              <w:t>NR (60 -79)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B26F0" w14:textId="77777777" w:rsidR="00885640" w:rsidRPr="001E3A0E" w:rsidRDefault="00885640" w:rsidP="00885640">
            <w:pPr>
              <w:rPr>
                <w:szCs w:val="20"/>
              </w:rPr>
            </w:pPr>
            <w:r w:rsidRPr="001E3A0E">
              <w:rPr>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17A89" w14:textId="77777777" w:rsidR="00885640" w:rsidRPr="001E3A0E" w:rsidRDefault="00885640" w:rsidP="00885640">
            <w:pPr>
              <w:rPr>
                <w:szCs w:val="20"/>
              </w:rPr>
            </w:pPr>
            <w:r w:rsidRPr="001E3A0E">
              <w:rPr>
                <w:szCs w:val="20"/>
              </w:rPr>
              <w:t>1999-2001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6C032" w14:textId="77777777" w:rsidR="00885640" w:rsidRPr="001E3A0E" w:rsidRDefault="00885640" w:rsidP="00885640">
            <w:pPr>
              <w:rPr>
                <w:szCs w:val="20"/>
              </w:rPr>
            </w:pPr>
            <w:r w:rsidRPr="001E3A0E">
              <w:rPr>
                <w:szCs w:val="20"/>
              </w:rPr>
              <w:t>median 8.2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8239D" w14:textId="77777777" w:rsidR="00885640" w:rsidRPr="001E3A0E" w:rsidRDefault="00885640" w:rsidP="00885640">
            <w:pPr>
              <w:rPr>
                <w:szCs w:val="20"/>
              </w:rPr>
            </w:pPr>
            <w:r w:rsidRPr="001E3A0E">
              <w:rPr>
                <w:szCs w:val="20"/>
              </w:rPr>
              <w:t>35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B3C23" w14:textId="77777777" w:rsidR="00885640" w:rsidRPr="001E3A0E" w:rsidRDefault="00885640" w:rsidP="00885640">
            <w:pPr>
              <w:rPr>
                <w:szCs w:val="20"/>
              </w:rPr>
            </w:pPr>
            <w:r w:rsidRPr="001E3A0E">
              <w:rPr>
                <w:szCs w:val="20"/>
              </w:rPr>
              <w:t>NR</w:t>
            </w:r>
          </w:p>
        </w:tc>
      </w:tr>
      <w:tr w:rsidR="00885640" w:rsidRPr="001E3A0E" w14:paraId="23AFE5E5"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C1DBEC7" w14:textId="77777777" w:rsidR="00885640" w:rsidRPr="001E3A0E" w:rsidRDefault="00885640" w:rsidP="00885640">
            <w:pPr>
              <w:rPr>
                <w:szCs w:val="20"/>
              </w:rPr>
            </w:pPr>
            <w:r w:rsidRPr="001E3A0E">
              <w:rPr>
                <w:szCs w:val="20"/>
              </w:rPr>
              <w:t xml:space="preserve">54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9EE0" w14:textId="77777777" w:rsidR="00885640" w:rsidRPr="001E3A0E" w:rsidRDefault="00885640" w:rsidP="00885640">
            <w:pPr>
              <w:rPr>
                <w:szCs w:val="20"/>
              </w:rPr>
            </w:pPr>
            <w:r w:rsidRPr="001E3A0E">
              <w:rPr>
                <w:noProof/>
                <w:szCs w:val="20"/>
              </w:rPr>
              <w:t>Bartosch et al. (2018)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7D543" w14:textId="77777777" w:rsidR="00885640" w:rsidRPr="001E3A0E" w:rsidRDefault="00885640" w:rsidP="00885640">
            <w:pPr>
              <w:rPr>
                <w:szCs w:val="20"/>
              </w:rPr>
            </w:pPr>
            <w:r w:rsidRPr="001E3A0E">
              <w:rPr>
                <w:szCs w:val="20"/>
              </w:rPr>
              <w:t>Sweden: Osteoporosis Risk Assessment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35AB" w14:textId="77777777" w:rsidR="00885640" w:rsidRPr="001E3A0E" w:rsidRDefault="00885640" w:rsidP="00885640">
            <w:pPr>
              <w:rPr>
                <w:szCs w:val="20"/>
              </w:rPr>
            </w:pPr>
            <w:r w:rsidRPr="001E3A0E">
              <w:rPr>
                <w:szCs w:val="20"/>
              </w:rPr>
              <w:t>1044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0C228" w14:textId="77777777" w:rsidR="00885640" w:rsidRPr="001E3A0E" w:rsidRDefault="00885640" w:rsidP="00885640">
            <w:pPr>
              <w:rPr>
                <w:szCs w:val="20"/>
              </w:rPr>
            </w:pPr>
            <w:r w:rsidRPr="001E3A0E">
              <w:rPr>
                <w:szCs w:val="20"/>
              </w:rPr>
              <w:t>75.2 (&gt;=75)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534B4" w14:textId="77777777" w:rsidR="00885640" w:rsidRPr="001E3A0E" w:rsidRDefault="00885640" w:rsidP="00885640">
            <w:pPr>
              <w:rPr>
                <w:szCs w:val="20"/>
              </w:rPr>
            </w:pPr>
            <w:r w:rsidRPr="001E3A0E">
              <w:rPr>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8B65" w14:textId="77777777" w:rsidR="00885640" w:rsidRPr="001E3A0E" w:rsidRDefault="00885640" w:rsidP="00885640">
            <w:pPr>
              <w:rPr>
                <w:szCs w:val="20"/>
              </w:rPr>
            </w:pPr>
            <w:r w:rsidRPr="001E3A0E">
              <w:rPr>
                <w:szCs w:val="20"/>
              </w:rPr>
              <w:t>1995-1999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78FC2" w14:textId="77777777" w:rsidR="00885640" w:rsidRPr="001E3A0E" w:rsidRDefault="00885640" w:rsidP="00885640">
            <w:pPr>
              <w:rPr>
                <w:szCs w:val="20"/>
              </w:rPr>
            </w:pPr>
            <w:r w:rsidRPr="001E3A0E">
              <w:rPr>
                <w:szCs w:val="20"/>
              </w:rPr>
              <w:t>5 years and 10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2FF3C" w14:textId="77777777" w:rsidR="00885640" w:rsidRPr="001E3A0E" w:rsidRDefault="00885640" w:rsidP="00885640">
            <w:pPr>
              <w:rPr>
                <w:szCs w:val="20"/>
              </w:rPr>
            </w:pPr>
            <w:r w:rsidRPr="001E3A0E">
              <w:rPr>
                <w:szCs w:val="20"/>
              </w:rPr>
              <w:t>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68102" w14:textId="77777777" w:rsidR="00885640" w:rsidRPr="001E3A0E" w:rsidRDefault="00885640" w:rsidP="00885640">
            <w:pPr>
              <w:rPr>
                <w:szCs w:val="20"/>
              </w:rPr>
            </w:pPr>
            <w:r w:rsidRPr="001E3A0E">
              <w:rPr>
                <w:szCs w:val="20"/>
              </w:rPr>
              <w:t>Varies for each year category</w:t>
            </w:r>
          </w:p>
        </w:tc>
      </w:tr>
      <w:tr w:rsidR="00885640" w:rsidRPr="001E3A0E" w14:paraId="40548A6E"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2E135690" w14:textId="77777777" w:rsidR="00885640" w:rsidRPr="001E3A0E" w:rsidRDefault="00885640" w:rsidP="00885640">
            <w:pPr>
              <w:rPr>
                <w:szCs w:val="20"/>
              </w:rPr>
            </w:pPr>
            <w:r w:rsidRPr="001E3A0E">
              <w:rPr>
                <w:szCs w:val="20"/>
              </w:rPr>
              <w:t xml:space="preserve">55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C9A05" w14:textId="77777777" w:rsidR="00885640" w:rsidRPr="001E3A0E" w:rsidRDefault="00885640" w:rsidP="00885640">
            <w:pPr>
              <w:rPr>
                <w:szCs w:val="20"/>
              </w:rPr>
            </w:pPr>
            <w:r w:rsidRPr="001E3A0E">
              <w:rPr>
                <w:noProof/>
                <w:szCs w:val="20"/>
              </w:rPr>
              <w:t>Amblas-Novellas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D8523" w14:textId="77777777" w:rsidR="00885640" w:rsidRPr="001E3A0E" w:rsidRDefault="00885640" w:rsidP="00885640">
            <w:pPr>
              <w:rPr>
                <w:szCs w:val="20"/>
              </w:rPr>
            </w:pPr>
            <w:r w:rsidRPr="001E3A0E">
              <w:rPr>
                <w:szCs w:val="20"/>
              </w:rPr>
              <w:t>Spain: Patients admitted to the Acute Geriatric Unit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968F5" w14:textId="77777777" w:rsidR="00885640" w:rsidRPr="001E3A0E" w:rsidRDefault="00885640" w:rsidP="00885640">
            <w:pPr>
              <w:rPr>
                <w:szCs w:val="20"/>
              </w:rPr>
            </w:pPr>
            <w:r w:rsidRPr="001E3A0E">
              <w:rPr>
                <w:szCs w:val="20"/>
              </w:rPr>
              <w:t>590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C3F4A" w14:textId="77777777" w:rsidR="00885640" w:rsidRPr="001E3A0E" w:rsidRDefault="00885640" w:rsidP="00885640">
            <w:pPr>
              <w:rPr>
                <w:szCs w:val="20"/>
              </w:rPr>
            </w:pPr>
            <w:r w:rsidRPr="001E3A0E">
              <w:rPr>
                <w:szCs w:val="20"/>
              </w:rPr>
              <w:t>86.4 (&gt;=85)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F43E" w14:textId="77777777" w:rsidR="00885640" w:rsidRPr="001E3A0E" w:rsidRDefault="00885640" w:rsidP="00885640">
            <w:pPr>
              <w:rPr>
                <w:szCs w:val="20"/>
              </w:rPr>
            </w:pPr>
            <w:r w:rsidRPr="001E3A0E">
              <w:rPr>
                <w:szCs w:val="20"/>
              </w:rPr>
              <w:t>57.5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AB9BF" w14:textId="77777777" w:rsidR="00885640" w:rsidRPr="001E3A0E" w:rsidRDefault="00885640" w:rsidP="00885640">
            <w:pPr>
              <w:rPr>
                <w:szCs w:val="20"/>
              </w:rPr>
            </w:pPr>
            <w:r w:rsidRPr="001E3A0E">
              <w:rPr>
                <w:szCs w:val="20"/>
              </w:rPr>
              <w:t>2015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4E2AC"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8DE4A" w14:textId="77777777" w:rsidR="00885640" w:rsidRPr="001E3A0E" w:rsidRDefault="00885640" w:rsidP="00885640">
            <w:pPr>
              <w:rPr>
                <w:szCs w:val="20"/>
              </w:rPr>
            </w:pPr>
            <w:r w:rsidRPr="001E3A0E">
              <w:rPr>
                <w:szCs w:val="20"/>
              </w:rPr>
              <w:t>25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495D3" w14:textId="77777777" w:rsidR="00885640" w:rsidRPr="001E3A0E" w:rsidRDefault="00885640" w:rsidP="00885640">
            <w:pPr>
              <w:rPr>
                <w:szCs w:val="20"/>
              </w:rPr>
            </w:pPr>
            <w:r w:rsidRPr="001E3A0E">
              <w:rPr>
                <w:szCs w:val="20"/>
              </w:rPr>
              <w:t>No frailty (FI&lt;=0.2);</w:t>
            </w:r>
            <w:r w:rsidRPr="001E3A0E">
              <w:rPr>
                <w:szCs w:val="20"/>
              </w:rPr>
              <w:br/>
              <w:t>Mild frailty (0.2&lt;FI&lt;=0.35);</w:t>
            </w:r>
            <w:r w:rsidRPr="001E3A0E">
              <w:rPr>
                <w:szCs w:val="20"/>
              </w:rPr>
              <w:br/>
              <w:t xml:space="preserve">Moderate frailty (0.35&lt;FI&lt;=0.5); </w:t>
            </w:r>
            <w:r w:rsidRPr="001E3A0E">
              <w:rPr>
                <w:szCs w:val="20"/>
              </w:rPr>
              <w:br/>
              <w:t>Advanced frailty (FI&gt;0.5)</w:t>
            </w:r>
          </w:p>
        </w:tc>
      </w:tr>
      <w:tr w:rsidR="00885640" w:rsidRPr="001E3A0E" w14:paraId="4D2663CA"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64F8272" w14:textId="77777777" w:rsidR="00885640" w:rsidRPr="001E3A0E" w:rsidRDefault="00885640" w:rsidP="00885640">
            <w:pPr>
              <w:rPr>
                <w:szCs w:val="20"/>
              </w:rPr>
            </w:pPr>
            <w:r w:rsidRPr="001E3A0E">
              <w:rPr>
                <w:szCs w:val="20"/>
              </w:rPr>
              <w:t xml:space="preserve">56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F2C8" w14:textId="77777777" w:rsidR="00885640" w:rsidRPr="001E3A0E" w:rsidRDefault="00885640" w:rsidP="00885640">
            <w:pPr>
              <w:rPr>
                <w:szCs w:val="20"/>
              </w:rPr>
            </w:pPr>
            <w:r w:rsidRPr="001E3A0E">
              <w:rPr>
                <w:noProof/>
                <w:szCs w:val="20"/>
              </w:rPr>
              <w:t>Ozmen et al. (2020)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B24F" w14:textId="77777777" w:rsidR="00885640" w:rsidRPr="001E3A0E" w:rsidRDefault="00885640" w:rsidP="00885640">
            <w:pPr>
              <w:rPr>
                <w:szCs w:val="20"/>
              </w:rPr>
            </w:pPr>
            <w:r w:rsidRPr="001E3A0E">
              <w:rPr>
                <w:szCs w:val="20"/>
              </w:rPr>
              <w:t>Turkey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E3766" w14:textId="77777777" w:rsidR="00885640" w:rsidRPr="001E3A0E" w:rsidRDefault="00885640" w:rsidP="00885640">
            <w:pPr>
              <w:rPr>
                <w:szCs w:val="20"/>
              </w:rPr>
            </w:pPr>
            <w:r w:rsidRPr="001E3A0E">
              <w:rPr>
                <w:szCs w:val="20"/>
              </w:rPr>
              <w:t>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0E76" w14:textId="77777777" w:rsidR="00885640" w:rsidRPr="001E3A0E" w:rsidRDefault="00885640" w:rsidP="00885640">
            <w:pPr>
              <w:rPr>
                <w:szCs w:val="20"/>
              </w:rPr>
            </w:pPr>
            <w:r w:rsidRPr="001E3A0E">
              <w:rPr>
                <w:szCs w:val="20"/>
              </w:rPr>
              <w:t>74.0 (&gt;=70)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8681" w14:textId="77777777" w:rsidR="00885640" w:rsidRPr="001E3A0E" w:rsidRDefault="00885640" w:rsidP="00885640">
            <w:pPr>
              <w:rPr>
                <w:szCs w:val="20"/>
              </w:rPr>
            </w:pPr>
            <w:r w:rsidRPr="001E3A0E">
              <w:rPr>
                <w:szCs w:val="20"/>
              </w:rPr>
              <w:t>64.7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E133" w14:textId="77777777" w:rsidR="00885640" w:rsidRPr="001E3A0E" w:rsidRDefault="00885640" w:rsidP="00885640">
            <w:pPr>
              <w:rPr>
                <w:szCs w:val="20"/>
              </w:rPr>
            </w:pPr>
            <w:r w:rsidRPr="001E3A0E">
              <w:rPr>
                <w:szCs w:val="20"/>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F2F4E" w14:textId="77777777" w:rsidR="00885640" w:rsidRPr="001E3A0E" w:rsidRDefault="00885640" w:rsidP="00885640">
            <w:pPr>
              <w:rPr>
                <w:szCs w:val="20"/>
              </w:rPr>
            </w:pPr>
            <w:r w:rsidRPr="001E3A0E">
              <w:rPr>
                <w:szCs w:val="20"/>
              </w:rPr>
              <w:t>10 months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68BA4"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7F747" w14:textId="77777777" w:rsidR="00885640" w:rsidRPr="001E3A0E" w:rsidRDefault="00885640" w:rsidP="00885640">
            <w:pPr>
              <w:rPr>
                <w:szCs w:val="20"/>
              </w:rPr>
            </w:pPr>
            <w:r w:rsidRPr="001E3A0E">
              <w:rPr>
                <w:szCs w:val="20"/>
              </w:rPr>
              <w:t>NR</w:t>
            </w:r>
          </w:p>
        </w:tc>
      </w:tr>
      <w:tr w:rsidR="00885640" w:rsidRPr="001E3A0E" w14:paraId="6E081BD4"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54CF261B" w14:textId="77777777" w:rsidR="00885640" w:rsidRPr="001E3A0E" w:rsidRDefault="00885640" w:rsidP="00885640">
            <w:pPr>
              <w:rPr>
                <w:szCs w:val="20"/>
              </w:rPr>
            </w:pPr>
            <w:r w:rsidRPr="001E3A0E">
              <w:rPr>
                <w:szCs w:val="20"/>
              </w:rPr>
              <w:t>57</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5BEF7" w14:textId="77777777" w:rsidR="00885640" w:rsidRPr="001E3A0E" w:rsidRDefault="00885640" w:rsidP="00885640">
            <w:pPr>
              <w:rPr>
                <w:szCs w:val="20"/>
              </w:rPr>
            </w:pPr>
            <w:r w:rsidRPr="001E3A0E">
              <w:rPr>
                <w:noProof/>
                <w:szCs w:val="20"/>
              </w:rPr>
              <w:t>Ohashi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BC573" w14:textId="77777777" w:rsidR="00885640" w:rsidRPr="001E3A0E" w:rsidRDefault="00885640" w:rsidP="00885640">
            <w:pPr>
              <w:rPr>
                <w:szCs w:val="20"/>
              </w:rPr>
            </w:pPr>
            <w:r w:rsidRPr="001E3A0E">
              <w:rPr>
                <w:szCs w:val="20"/>
              </w:rPr>
              <w:t>Japan (</w:t>
            </w:r>
            <w:proofErr w:type="spellStart"/>
            <w:r w:rsidRPr="001E3A0E">
              <w:rPr>
                <w:szCs w:val="20"/>
              </w:rPr>
              <w:t>Agano</w:t>
            </w:r>
            <w:proofErr w:type="spellEnd"/>
            <w:r w:rsidRPr="001E3A0E">
              <w:rPr>
                <w:szCs w:val="20"/>
              </w:rPr>
              <w:t xml:space="preserve"> city): The </w:t>
            </w:r>
            <w:proofErr w:type="spellStart"/>
            <w:r w:rsidRPr="001E3A0E">
              <w:rPr>
                <w:szCs w:val="20"/>
              </w:rPr>
              <w:t>Kihon</w:t>
            </w:r>
            <w:proofErr w:type="spellEnd"/>
            <w:r w:rsidRPr="001E3A0E">
              <w:rPr>
                <w:szCs w:val="20"/>
              </w:rPr>
              <w:t xml:space="preserve"> Checklist survey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29DB2" w14:textId="77777777" w:rsidR="00885640" w:rsidRPr="001E3A0E" w:rsidRDefault="00885640" w:rsidP="00885640">
            <w:pPr>
              <w:rPr>
                <w:szCs w:val="20"/>
              </w:rPr>
            </w:pPr>
            <w:r w:rsidRPr="001E3A0E">
              <w:rPr>
                <w:szCs w:val="20"/>
              </w:rPr>
              <w:t>551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8BC75" w14:textId="77777777" w:rsidR="00885640" w:rsidRPr="001E3A0E" w:rsidRDefault="00885640" w:rsidP="00885640">
            <w:pPr>
              <w:rPr>
                <w:szCs w:val="20"/>
              </w:rPr>
            </w:pPr>
            <w:r w:rsidRPr="001E3A0E">
              <w:rPr>
                <w:szCs w:val="20"/>
              </w:rPr>
              <w:t>67.3 (65 - 70)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2CC03" w14:textId="77777777" w:rsidR="00885640" w:rsidRPr="001E3A0E" w:rsidRDefault="00885640" w:rsidP="00885640">
            <w:pPr>
              <w:rPr>
                <w:szCs w:val="20"/>
              </w:rPr>
            </w:pPr>
            <w:r w:rsidRPr="001E3A0E">
              <w:rPr>
                <w:szCs w:val="20"/>
              </w:rPr>
              <w:t>51.9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9846E" w14:textId="77777777" w:rsidR="00885640" w:rsidRPr="001E3A0E" w:rsidRDefault="00885640" w:rsidP="00885640">
            <w:pPr>
              <w:rPr>
                <w:szCs w:val="20"/>
              </w:rPr>
            </w:pPr>
            <w:r w:rsidRPr="001E3A0E">
              <w:rPr>
                <w:szCs w:val="20"/>
              </w:rPr>
              <w:t>2011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A34D3" w14:textId="77777777" w:rsidR="00885640" w:rsidRPr="001E3A0E" w:rsidRDefault="00885640" w:rsidP="00885640">
            <w:pPr>
              <w:rPr>
                <w:szCs w:val="20"/>
              </w:rPr>
            </w:pPr>
            <w:r w:rsidRPr="001E3A0E">
              <w:rPr>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9335B" w14:textId="77777777" w:rsidR="00885640" w:rsidRPr="001E3A0E" w:rsidRDefault="00885640" w:rsidP="00885640">
            <w:pPr>
              <w:rPr>
                <w:szCs w:val="20"/>
              </w:rPr>
            </w:pPr>
            <w:r w:rsidRPr="001E3A0E">
              <w:rPr>
                <w:szCs w:val="20"/>
              </w:rPr>
              <w:t>25</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0671" w14:textId="77777777" w:rsidR="00885640" w:rsidRPr="001E3A0E" w:rsidRDefault="00885640" w:rsidP="00885640">
            <w:pPr>
              <w:rPr>
                <w:szCs w:val="20"/>
              </w:rPr>
            </w:pPr>
            <w:r w:rsidRPr="001E3A0E">
              <w:rPr>
                <w:szCs w:val="20"/>
              </w:rPr>
              <w:t>Robust (0; 3);</w:t>
            </w:r>
            <w:r w:rsidRPr="001E3A0E">
              <w:rPr>
                <w:szCs w:val="20"/>
              </w:rPr>
              <w:br/>
              <w:t>Prefrail (4; 7);</w:t>
            </w:r>
            <w:r w:rsidRPr="001E3A0E">
              <w:rPr>
                <w:szCs w:val="20"/>
              </w:rPr>
              <w:br/>
              <w:t>Frail (&gt;=8)</w:t>
            </w:r>
          </w:p>
        </w:tc>
      </w:tr>
      <w:tr w:rsidR="00885640" w:rsidRPr="001E3A0E" w14:paraId="7B9AD430"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48207ABE" w14:textId="77777777" w:rsidR="00885640" w:rsidRPr="001E3A0E" w:rsidRDefault="00885640" w:rsidP="00885640">
            <w:pPr>
              <w:rPr>
                <w:szCs w:val="20"/>
              </w:rPr>
            </w:pPr>
            <w:r w:rsidRPr="001E3A0E">
              <w:rPr>
                <w:szCs w:val="20"/>
              </w:rPr>
              <w:t xml:space="preserve">58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A610" w14:textId="77777777" w:rsidR="00885640" w:rsidRPr="001E3A0E" w:rsidRDefault="00885640" w:rsidP="00885640">
            <w:pPr>
              <w:rPr>
                <w:szCs w:val="20"/>
              </w:rPr>
            </w:pPr>
            <w:r w:rsidRPr="001E3A0E">
              <w:rPr>
                <w:noProof/>
                <w:szCs w:val="20"/>
              </w:rPr>
              <w:t>Chen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C81E3" w14:textId="77777777" w:rsidR="00885640" w:rsidRPr="001E3A0E" w:rsidRDefault="00885640" w:rsidP="00885640">
            <w:pPr>
              <w:rPr>
                <w:szCs w:val="20"/>
              </w:rPr>
            </w:pPr>
            <w:r w:rsidRPr="001E3A0E">
              <w:rPr>
                <w:szCs w:val="20"/>
              </w:rPr>
              <w:t>Taiwan’s National Health Insurance Reimbursement Database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FC5A6" w14:textId="77777777" w:rsidR="00885640" w:rsidRPr="001E3A0E" w:rsidRDefault="00885640" w:rsidP="00885640">
            <w:pPr>
              <w:rPr>
                <w:szCs w:val="20"/>
              </w:rPr>
            </w:pPr>
            <w:r w:rsidRPr="001E3A0E">
              <w:rPr>
                <w:szCs w:val="20"/>
              </w:rPr>
              <w:t>100000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E1F29" w14:textId="77777777" w:rsidR="00885640" w:rsidRPr="001E3A0E" w:rsidRDefault="00885640" w:rsidP="00885640">
            <w:pPr>
              <w:rPr>
                <w:szCs w:val="20"/>
              </w:rPr>
            </w:pPr>
            <w:r w:rsidRPr="001E3A0E">
              <w:rPr>
                <w:szCs w:val="20"/>
              </w:rPr>
              <w:t xml:space="preserve">73 </w:t>
            </w:r>
            <w:proofErr w:type="gramStart"/>
            <w:r w:rsidRPr="001E3A0E">
              <w:rPr>
                <w:szCs w:val="20"/>
              </w:rPr>
              <w:t>median</w:t>
            </w:r>
            <w:proofErr w:type="gramEnd"/>
            <w:r w:rsidRPr="001E3A0E">
              <w:rPr>
                <w:szCs w:val="20"/>
              </w:rPr>
              <w:t xml:space="preserve"> (&gt;=65)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E4807" w14:textId="77777777" w:rsidR="00885640" w:rsidRPr="001E3A0E" w:rsidRDefault="00885640" w:rsidP="00885640">
            <w:pPr>
              <w:rPr>
                <w:szCs w:val="20"/>
              </w:rPr>
            </w:pPr>
            <w:r w:rsidRPr="001E3A0E">
              <w:rPr>
                <w:szCs w:val="20"/>
              </w:rPr>
              <w:t>51.6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E101C" w14:textId="77777777" w:rsidR="00885640" w:rsidRPr="001E3A0E" w:rsidRDefault="00885640" w:rsidP="00885640">
            <w:pPr>
              <w:rPr>
                <w:szCs w:val="20"/>
              </w:rPr>
            </w:pPr>
            <w:r w:rsidRPr="001E3A0E">
              <w:rPr>
                <w:szCs w:val="20"/>
              </w:rPr>
              <w:t>2006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B44D" w14:textId="77777777" w:rsidR="00885640" w:rsidRPr="001E3A0E" w:rsidRDefault="00885640" w:rsidP="00885640">
            <w:pPr>
              <w:rPr>
                <w:szCs w:val="20"/>
              </w:rPr>
            </w:pPr>
            <w:r w:rsidRPr="001E3A0E">
              <w:rPr>
                <w:szCs w:val="20"/>
              </w:rPr>
              <w:t>mean 7.58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B54F" w14:textId="77777777" w:rsidR="00885640" w:rsidRPr="001E3A0E" w:rsidRDefault="00885640" w:rsidP="00885640">
            <w:pPr>
              <w:rPr>
                <w:szCs w:val="20"/>
              </w:rPr>
            </w:pPr>
            <w:r w:rsidRPr="001E3A0E">
              <w:rPr>
                <w:szCs w:val="20"/>
              </w:rPr>
              <w:t>NR</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1482E" w14:textId="77777777" w:rsidR="00885640" w:rsidRPr="001E3A0E" w:rsidRDefault="00885640" w:rsidP="00885640">
            <w:pPr>
              <w:rPr>
                <w:szCs w:val="20"/>
              </w:rPr>
            </w:pPr>
            <w:r w:rsidRPr="001E3A0E">
              <w:rPr>
                <w:szCs w:val="20"/>
              </w:rPr>
              <w:t>NC</w:t>
            </w:r>
          </w:p>
        </w:tc>
      </w:tr>
      <w:tr w:rsidR="00885640" w:rsidRPr="001E3A0E" w14:paraId="50D81945"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7DCB4093" w14:textId="77777777" w:rsidR="00885640" w:rsidRPr="001E3A0E" w:rsidRDefault="00885640" w:rsidP="00885640">
            <w:pPr>
              <w:rPr>
                <w:szCs w:val="20"/>
              </w:rPr>
            </w:pPr>
            <w:r w:rsidRPr="001E3A0E">
              <w:rPr>
                <w:szCs w:val="20"/>
              </w:rPr>
              <w:t xml:space="preserve">59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95371" w14:textId="77777777" w:rsidR="00885640" w:rsidRPr="001E3A0E" w:rsidRDefault="00885640" w:rsidP="00885640">
            <w:pPr>
              <w:rPr>
                <w:szCs w:val="20"/>
              </w:rPr>
            </w:pPr>
            <w:r w:rsidRPr="001E3A0E">
              <w:rPr>
                <w:noProof/>
                <w:szCs w:val="20"/>
              </w:rPr>
              <w:t>Borges et al. (2021)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3029F" w14:textId="77777777" w:rsidR="00885640" w:rsidRPr="001E3A0E" w:rsidRDefault="00885640" w:rsidP="00885640">
            <w:pPr>
              <w:rPr>
                <w:szCs w:val="20"/>
              </w:rPr>
            </w:pPr>
            <w:r w:rsidRPr="001E3A0E">
              <w:rPr>
                <w:szCs w:val="20"/>
              </w:rPr>
              <w:t>Brazil: The Multimorbidity and Mental health Cohort Study</w:t>
            </w:r>
            <w:r w:rsidRPr="001E3A0E">
              <w:rPr>
                <w:szCs w:val="20"/>
              </w:rPr>
              <w:br/>
              <w:t>in Frailty and Aging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86F3E" w14:textId="77777777" w:rsidR="00885640" w:rsidRPr="001E3A0E" w:rsidRDefault="00885640" w:rsidP="00885640">
            <w:pPr>
              <w:rPr>
                <w:szCs w:val="20"/>
              </w:rPr>
            </w:pPr>
            <w:r w:rsidRPr="001E3A0E">
              <w:rPr>
                <w:szCs w:val="20"/>
              </w:rPr>
              <w:t>315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0836D" w14:textId="77777777" w:rsidR="00885640" w:rsidRPr="001E3A0E" w:rsidRDefault="00885640" w:rsidP="00885640">
            <w:pPr>
              <w:rPr>
                <w:szCs w:val="20"/>
              </w:rPr>
            </w:pPr>
            <w:r w:rsidRPr="001E3A0E">
              <w:rPr>
                <w:szCs w:val="20"/>
              </w:rPr>
              <w:t>NC (&gt;=60)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EC7A2" w14:textId="77777777" w:rsidR="00885640" w:rsidRPr="001E3A0E" w:rsidRDefault="00885640" w:rsidP="00885640">
            <w:pPr>
              <w:rPr>
                <w:szCs w:val="20"/>
              </w:rPr>
            </w:pPr>
            <w:r w:rsidRPr="001E3A0E">
              <w:rPr>
                <w:szCs w:val="20"/>
              </w:rPr>
              <w:t>NC</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D864B" w14:textId="77777777" w:rsidR="00885640" w:rsidRPr="001E3A0E" w:rsidRDefault="00885640" w:rsidP="00885640">
            <w:pPr>
              <w:rPr>
                <w:szCs w:val="20"/>
              </w:rPr>
            </w:pPr>
            <w:r w:rsidRPr="001E3A0E">
              <w:rPr>
                <w:szCs w:val="20"/>
              </w:rPr>
              <w:t>NC</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5A911" w14:textId="77777777" w:rsidR="00885640" w:rsidRPr="001E3A0E" w:rsidRDefault="00885640" w:rsidP="00885640">
            <w:pPr>
              <w:rPr>
                <w:szCs w:val="20"/>
              </w:rPr>
            </w:pPr>
            <w:r w:rsidRPr="001E3A0E">
              <w:rPr>
                <w:szCs w:val="20"/>
              </w:rPr>
              <w:t>NC</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39F07" w14:textId="77777777" w:rsidR="00885640" w:rsidRPr="001E3A0E" w:rsidRDefault="00885640" w:rsidP="00885640">
            <w:pPr>
              <w:rPr>
                <w:szCs w:val="20"/>
              </w:rPr>
            </w:pPr>
            <w:r w:rsidRPr="001E3A0E">
              <w:rPr>
                <w:szCs w:val="20"/>
              </w:rPr>
              <w:t>36</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8D60B" w14:textId="77777777" w:rsidR="00885640" w:rsidRPr="001E3A0E" w:rsidRDefault="00885640" w:rsidP="00885640">
            <w:pPr>
              <w:rPr>
                <w:szCs w:val="20"/>
              </w:rPr>
            </w:pPr>
            <w:r w:rsidRPr="001E3A0E">
              <w:rPr>
                <w:szCs w:val="20"/>
              </w:rPr>
              <w:t>NC</w:t>
            </w:r>
          </w:p>
        </w:tc>
      </w:tr>
      <w:tr w:rsidR="00885640" w:rsidRPr="001E3A0E" w14:paraId="73E44273"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0D4E4B87" w14:textId="77777777" w:rsidR="00885640" w:rsidRPr="001E3A0E" w:rsidRDefault="00885640" w:rsidP="00885640">
            <w:pPr>
              <w:rPr>
                <w:szCs w:val="20"/>
              </w:rPr>
            </w:pPr>
            <w:r w:rsidRPr="001E3A0E">
              <w:rPr>
                <w:szCs w:val="20"/>
              </w:rPr>
              <w:t>60</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3D42" w14:textId="77777777" w:rsidR="00885640" w:rsidRPr="001E3A0E" w:rsidRDefault="00885640" w:rsidP="00885640">
            <w:pPr>
              <w:rPr>
                <w:szCs w:val="20"/>
              </w:rPr>
            </w:pPr>
            <w:r w:rsidRPr="001E3A0E">
              <w:rPr>
                <w:noProof/>
                <w:szCs w:val="20"/>
              </w:rPr>
              <w:t>García-González et al. (2009)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BDD5" w14:textId="77777777" w:rsidR="00885640" w:rsidRPr="001E3A0E" w:rsidRDefault="00885640" w:rsidP="00885640">
            <w:pPr>
              <w:rPr>
                <w:szCs w:val="20"/>
              </w:rPr>
            </w:pPr>
            <w:r w:rsidRPr="001E3A0E">
              <w:rPr>
                <w:szCs w:val="20"/>
              </w:rPr>
              <w:t>Mexico: The Mexican Health and</w:t>
            </w:r>
            <w:r w:rsidRPr="001E3A0E">
              <w:rPr>
                <w:szCs w:val="20"/>
              </w:rPr>
              <w:br/>
              <w:t>Aging Study</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5857" w14:textId="77777777" w:rsidR="00885640" w:rsidRPr="001E3A0E" w:rsidRDefault="00885640" w:rsidP="00885640">
            <w:pPr>
              <w:rPr>
                <w:szCs w:val="20"/>
              </w:rPr>
            </w:pPr>
            <w:r w:rsidRPr="001E3A0E">
              <w:rPr>
                <w:szCs w:val="20"/>
              </w:rPr>
              <w:t>4082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D1C7" w14:textId="77777777" w:rsidR="00885640" w:rsidRPr="001E3A0E" w:rsidRDefault="00885640" w:rsidP="00885640">
            <w:pPr>
              <w:rPr>
                <w:szCs w:val="20"/>
              </w:rPr>
            </w:pPr>
            <w:r w:rsidRPr="001E3A0E">
              <w:rPr>
                <w:szCs w:val="20"/>
              </w:rPr>
              <w:t>73 (65 - 105)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A6C5" w14:textId="77777777" w:rsidR="00885640" w:rsidRPr="001E3A0E" w:rsidRDefault="00885640" w:rsidP="00885640">
            <w:pPr>
              <w:rPr>
                <w:szCs w:val="20"/>
              </w:rPr>
            </w:pPr>
            <w:r w:rsidRPr="001E3A0E">
              <w:rPr>
                <w:szCs w:val="20"/>
              </w:rPr>
              <w:t>52.5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0A77C" w14:textId="77777777" w:rsidR="00885640" w:rsidRPr="001E3A0E" w:rsidRDefault="00885640" w:rsidP="00885640">
            <w:pPr>
              <w:rPr>
                <w:szCs w:val="20"/>
              </w:rPr>
            </w:pPr>
            <w:r w:rsidRPr="001E3A0E">
              <w:rPr>
                <w:szCs w:val="20"/>
              </w:rPr>
              <w:t>2001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62AAC" w14:textId="77777777" w:rsidR="00885640" w:rsidRPr="001E3A0E" w:rsidRDefault="00885640" w:rsidP="00885640">
            <w:pPr>
              <w:rPr>
                <w:szCs w:val="20"/>
              </w:rPr>
            </w:pPr>
            <w:r w:rsidRPr="001E3A0E">
              <w:rPr>
                <w:szCs w:val="20"/>
              </w:rPr>
              <w:t>2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FCE2B"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51E9D" w14:textId="77777777" w:rsidR="00885640" w:rsidRPr="001E3A0E" w:rsidRDefault="00885640" w:rsidP="00885640">
            <w:pPr>
              <w:rPr>
                <w:szCs w:val="20"/>
              </w:rPr>
            </w:pPr>
            <w:r w:rsidRPr="001E3A0E">
              <w:rPr>
                <w:szCs w:val="20"/>
              </w:rPr>
              <w:t>0.07, 0.14, 0.21, 0.35, 0.65</w:t>
            </w:r>
          </w:p>
        </w:tc>
      </w:tr>
      <w:tr w:rsidR="00885640" w:rsidRPr="001E3A0E" w14:paraId="3771A0E3" w14:textId="77777777" w:rsidTr="00885640">
        <w:trPr>
          <w:trHeight w:val="320"/>
        </w:trPr>
        <w:tc>
          <w:tcPr>
            <w:tcW w:w="771" w:type="dxa"/>
            <w:tcBorders>
              <w:top w:val="single" w:sz="4" w:space="0" w:color="auto"/>
              <w:left w:val="single" w:sz="4" w:space="0" w:color="auto"/>
              <w:bottom w:val="single" w:sz="4" w:space="0" w:color="auto"/>
              <w:right w:val="single" w:sz="4" w:space="0" w:color="auto"/>
            </w:tcBorders>
          </w:tcPr>
          <w:p w14:paraId="16D638AE" w14:textId="77777777" w:rsidR="00885640" w:rsidRPr="001E3A0E" w:rsidRDefault="00885640" w:rsidP="00885640">
            <w:pPr>
              <w:rPr>
                <w:szCs w:val="20"/>
              </w:rPr>
            </w:pPr>
            <w:r w:rsidRPr="001E3A0E">
              <w:rPr>
                <w:szCs w:val="20"/>
              </w:rPr>
              <w:t xml:space="preserve">61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92B47" w14:textId="77777777" w:rsidR="00885640" w:rsidRPr="001E3A0E" w:rsidRDefault="00885640" w:rsidP="00885640">
            <w:pPr>
              <w:rPr>
                <w:szCs w:val="20"/>
              </w:rPr>
            </w:pPr>
            <w:r w:rsidRPr="001E3A0E">
              <w:rPr>
                <w:szCs w:val="20"/>
              </w:rPr>
              <w:t>Li et al. (2016)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01E3" w14:textId="77777777" w:rsidR="00885640" w:rsidRPr="001E3A0E" w:rsidRDefault="00885640" w:rsidP="00885640">
            <w:pPr>
              <w:rPr>
                <w:szCs w:val="20"/>
              </w:rPr>
            </w:pPr>
            <w:r w:rsidRPr="001E3A0E">
              <w:rPr>
                <w:szCs w:val="20"/>
              </w:rPr>
              <w:t>Ten countries: Global Longitudinal Study of Osteoporosis in Women 3-Year Hamilton cohort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B12B1" w14:textId="77777777" w:rsidR="00885640" w:rsidRPr="001E3A0E" w:rsidRDefault="00885640" w:rsidP="00885640">
            <w:pPr>
              <w:rPr>
                <w:szCs w:val="20"/>
              </w:rPr>
            </w:pPr>
            <w:r w:rsidRPr="001E3A0E">
              <w:rPr>
                <w:szCs w:val="20"/>
              </w:rPr>
              <w:t>3985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8F71B" w14:textId="77777777" w:rsidR="00885640" w:rsidRPr="001E3A0E" w:rsidRDefault="00885640" w:rsidP="00885640">
            <w:pPr>
              <w:rPr>
                <w:szCs w:val="20"/>
              </w:rPr>
            </w:pPr>
            <w:r w:rsidRPr="001E3A0E">
              <w:rPr>
                <w:szCs w:val="20"/>
              </w:rPr>
              <w:t>69.4 (&gt;=55)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C8260" w14:textId="77777777" w:rsidR="00885640" w:rsidRPr="001E3A0E" w:rsidRDefault="00885640" w:rsidP="00885640">
            <w:pPr>
              <w:rPr>
                <w:szCs w:val="20"/>
              </w:rPr>
            </w:pPr>
            <w:r w:rsidRPr="001E3A0E">
              <w:rPr>
                <w:szCs w:val="20"/>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863A" w14:textId="77777777" w:rsidR="00885640" w:rsidRPr="001E3A0E" w:rsidRDefault="00885640" w:rsidP="00885640">
            <w:pPr>
              <w:rPr>
                <w:szCs w:val="20"/>
              </w:rPr>
            </w:pPr>
            <w:r w:rsidRPr="001E3A0E">
              <w:rPr>
                <w:szCs w:val="20"/>
              </w:rPr>
              <w:t>2008-2009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2189" w14:textId="77777777" w:rsidR="00885640" w:rsidRPr="001E3A0E" w:rsidRDefault="00885640" w:rsidP="00885640">
            <w:pPr>
              <w:rPr>
                <w:szCs w:val="20"/>
              </w:rPr>
            </w:pPr>
            <w:r w:rsidRPr="001E3A0E">
              <w:rPr>
                <w:szCs w:val="20"/>
              </w:rPr>
              <w:t>1,2 and 3 years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73CAA" w14:textId="77777777" w:rsidR="00885640" w:rsidRPr="001E3A0E" w:rsidRDefault="00885640" w:rsidP="00885640">
            <w:pPr>
              <w:rPr>
                <w:szCs w:val="20"/>
              </w:rPr>
            </w:pPr>
            <w:r w:rsidRPr="001E3A0E">
              <w:rPr>
                <w:szCs w:val="20"/>
              </w:rPr>
              <w:t>34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F32EE" w14:textId="77777777" w:rsidR="00885640" w:rsidRPr="001E3A0E" w:rsidRDefault="00885640" w:rsidP="00885640">
            <w:pPr>
              <w:rPr>
                <w:szCs w:val="20"/>
              </w:rPr>
            </w:pPr>
            <w:r w:rsidRPr="001E3A0E">
              <w:rPr>
                <w:szCs w:val="20"/>
              </w:rPr>
              <w:t>Frailty scores are categorised incrementally</w:t>
            </w:r>
          </w:p>
        </w:tc>
      </w:tr>
    </w:tbl>
    <w:p w14:paraId="1D3608CC" w14:textId="77777777" w:rsidR="00885640" w:rsidRPr="001E3A0E" w:rsidRDefault="00885640" w:rsidP="00885640">
      <w:pPr>
        <w:rPr>
          <w:sz w:val="24"/>
        </w:rPr>
      </w:pPr>
    </w:p>
    <w:p w14:paraId="3CFC35E7" w14:textId="77777777" w:rsidR="00885640" w:rsidRPr="001E3A0E" w:rsidRDefault="00885640" w:rsidP="00885640">
      <w:pPr>
        <w:rPr>
          <w:sz w:val="24"/>
        </w:rPr>
        <w:sectPr w:rsidR="00885640" w:rsidRPr="001E3A0E" w:rsidSect="00885640">
          <w:pgSz w:w="16840" w:h="11900" w:orient="landscape"/>
          <w:pgMar w:top="1440" w:right="1440" w:bottom="1440" w:left="1440" w:header="708" w:footer="708" w:gutter="0"/>
          <w:cols w:space="708"/>
          <w:docGrid w:linePitch="360"/>
        </w:sectPr>
      </w:pPr>
      <w:r w:rsidRPr="001E3A0E">
        <w:rPr>
          <w:sz w:val="24"/>
        </w:rPr>
        <w:t>NR – not reported, NC - not clear.</w:t>
      </w:r>
    </w:p>
    <w:p w14:paraId="32ACB6CF" w14:textId="77777777" w:rsidR="00885640" w:rsidRPr="001E3A0E" w:rsidRDefault="00885640" w:rsidP="00885640">
      <w:pPr>
        <w:spacing w:line="360" w:lineRule="auto"/>
        <w:rPr>
          <w:i/>
          <w:iCs/>
          <w:sz w:val="24"/>
        </w:rPr>
      </w:pPr>
      <w:r w:rsidRPr="001E3A0E">
        <w:rPr>
          <w:i/>
          <w:iCs/>
          <w:sz w:val="24"/>
        </w:rPr>
        <w:t>3.2. Annual transitions between frailty states and to death</w:t>
      </w:r>
    </w:p>
    <w:p w14:paraId="26EDFF83" w14:textId="1A074ED0" w:rsidR="00885640" w:rsidRPr="001E3A0E" w:rsidRDefault="00885640" w:rsidP="00885640">
      <w:pPr>
        <w:spacing w:line="360" w:lineRule="auto"/>
        <w:ind w:firstLine="720"/>
        <w:jc w:val="both"/>
        <w:rPr>
          <w:sz w:val="24"/>
        </w:rPr>
      </w:pPr>
      <w:r w:rsidRPr="001E3A0E">
        <w:rPr>
          <w:sz w:val="24"/>
        </w:rPr>
        <w:fldChar w:fldCharType="begin"/>
      </w:r>
      <w:r w:rsidRPr="001E3A0E">
        <w:rPr>
          <w:sz w:val="24"/>
        </w:rPr>
        <w:instrText xml:space="preserve"> REF _Ref82599680 \h  \* MERGEFORMAT </w:instrText>
      </w:r>
      <w:r w:rsidRPr="001E3A0E">
        <w:rPr>
          <w:sz w:val="24"/>
        </w:rPr>
      </w:r>
      <w:r w:rsidRPr="001E3A0E">
        <w:rPr>
          <w:sz w:val="24"/>
        </w:rPr>
        <w:fldChar w:fldCharType="separate"/>
      </w:r>
      <w:r w:rsidRPr="001E3A0E">
        <w:rPr>
          <w:sz w:val="24"/>
        </w:rPr>
        <w:t>Table 2</w:t>
      </w:r>
      <w:r w:rsidRPr="001E3A0E">
        <w:rPr>
          <w:sz w:val="24"/>
        </w:rPr>
        <w:fldChar w:fldCharType="end"/>
      </w:r>
      <w:r w:rsidRPr="001E3A0E">
        <w:rPr>
          <w:sz w:val="24"/>
        </w:rPr>
        <w:t xml:space="preserve"> presents annual transition probabilities extracted from the three included studies (ID:1,2,3). As cycle length was respectively 4.5, 2, and 3 years we converted to annual transition probabilities using an eigen-decomposition technique </w:t>
      </w:r>
      <w:r w:rsidRPr="001E3A0E">
        <w:rPr>
          <w:noProof/>
          <w:sz w:val="24"/>
        </w:rPr>
        <w:t>(Chhatwal et al., 2016)</w:t>
      </w:r>
      <w:r w:rsidRPr="001E3A0E">
        <w:rPr>
          <w:sz w:val="24"/>
        </w:rPr>
        <w:t>. Findings suggest participants were likely to remain in their current frailty category (non-frail state 86%, 84%, 62%; pre-frail state 79%, 57%, 70%; and frail state 89%, 68%, 65%). Most transition</w:t>
      </w:r>
      <w:r w:rsidR="001E3A0E">
        <w:rPr>
          <w:sz w:val="24"/>
        </w:rPr>
        <w:t>s</w:t>
      </w:r>
      <w:r w:rsidRPr="001E3A0E">
        <w:rPr>
          <w:sz w:val="24"/>
        </w:rPr>
        <w:t xml:space="preserve"> in either direction </w:t>
      </w:r>
      <w:proofErr w:type="gramStart"/>
      <w:r w:rsidRPr="001E3A0E">
        <w:rPr>
          <w:sz w:val="24"/>
        </w:rPr>
        <w:t>are</w:t>
      </w:r>
      <w:proofErr w:type="gramEnd"/>
      <w:r w:rsidRPr="001E3A0E">
        <w:rPr>
          <w:sz w:val="24"/>
        </w:rPr>
        <w:t xml:space="preserve"> gradual. Results from the three cohorts highlight the decline in health with annual transitions from pre-frail to frail status being 13%, 15%, 15%. Frail participants at baseline were more likely to die in all three studies.</w:t>
      </w:r>
    </w:p>
    <w:p w14:paraId="1370160A" w14:textId="2F5C9C5D" w:rsidR="00885640" w:rsidRPr="001E3A0E" w:rsidRDefault="00885640" w:rsidP="00885640">
      <w:pPr>
        <w:spacing w:line="360" w:lineRule="auto"/>
        <w:ind w:firstLine="720"/>
        <w:jc w:val="both"/>
        <w:rPr>
          <w:sz w:val="24"/>
        </w:rPr>
      </w:pPr>
      <w:r w:rsidRPr="001E3A0E">
        <w:rPr>
          <w:sz w:val="24"/>
        </w:rPr>
        <w:t>Health tends to decline with age. In support of this observation, we have found that age tends to accelerate transition from being non-frail to frail (34% vs 13%) and from being frail to death (28% vs 12%) when comparing youngest (mean age 69.4 (ID:2</w:t>
      </w:r>
      <w:r w:rsidR="004E70FE" w:rsidRPr="001E3A0E">
        <w:rPr>
          <w:sz w:val="24"/>
        </w:rPr>
        <w:t>)) to</w:t>
      </w:r>
      <w:r w:rsidRPr="001E3A0E">
        <w:rPr>
          <w:sz w:val="24"/>
        </w:rPr>
        <w:t xml:space="preserve"> oldest (mean age 82.6 (ID:3)) cohort. At the same time the youngest cohort had almost 30% chances of health improvement by going from pre-frail to non-frail state.</w:t>
      </w:r>
    </w:p>
    <w:p w14:paraId="4E0A421E" w14:textId="77777777" w:rsidR="00885640" w:rsidRPr="001E3A0E" w:rsidRDefault="00885640" w:rsidP="00885640">
      <w:pPr>
        <w:spacing w:line="360" w:lineRule="auto"/>
        <w:rPr>
          <w:sz w:val="24"/>
        </w:rPr>
      </w:pPr>
    </w:p>
    <w:p w14:paraId="7A97537C" w14:textId="77777777" w:rsidR="00885640" w:rsidRPr="001E3A0E" w:rsidRDefault="00885640" w:rsidP="00885640">
      <w:pPr>
        <w:pStyle w:val="Caption"/>
        <w:rPr>
          <w:rFonts w:ascii="Times New Roman" w:hAnsi="Times New Roman" w:cs="Times New Roman"/>
          <w:i/>
          <w:iCs/>
          <w:sz w:val="24"/>
          <w:szCs w:val="24"/>
        </w:rPr>
      </w:pPr>
      <w:bookmarkStart w:id="3" w:name="_Ref82599680"/>
      <w:r w:rsidRPr="001E3A0E">
        <w:rPr>
          <w:rFonts w:ascii="Times New Roman" w:hAnsi="Times New Roman" w:cs="Times New Roman"/>
          <w:sz w:val="24"/>
          <w:szCs w:val="24"/>
        </w:rPr>
        <w:t xml:space="preserve">Table </w:t>
      </w:r>
      <w:r w:rsidRPr="001E3A0E">
        <w:rPr>
          <w:rFonts w:ascii="Times New Roman" w:hAnsi="Times New Roman" w:cs="Times New Roman"/>
          <w:i/>
          <w:iCs/>
          <w:sz w:val="24"/>
          <w:szCs w:val="24"/>
        </w:rPr>
        <w:fldChar w:fldCharType="begin"/>
      </w:r>
      <w:r w:rsidRPr="001E3A0E">
        <w:rPr>
          <w:rFonts w:ascii="Times New Roman" w:hAnsi="Times New Roman" w:cs="Times New Roman"/>
          <w:sz w:val="24"/>
          <w:szCs w:val="24"/>
        </w:rPr>
        <w:instrText xml:space="preserve"> SEQ Table \* ARABIC </w:instrText>
      </w:r>
      <w:r w:rsidRPr="001E3A0E">
        <w:rPr>
          <w:rFonts w:ascii="Times New Roman" w:hAnsi="Times New Roman" w:cs="Times New Roman"/>
          <w:i/>
          <w:iCs/>
          <w:sz w:val="24"/>
          <w:szCs w:val="24"/>
        </w:rPr>
        <w:fldChar w:fldCharType="separate"/>
      </w:r>
      <w:r w:rsidRPr="001E3A0E">
        <w:rPr>
          <w:rFonts w:ascii="Times New Roman" w:hAnsi="Times New Roman" w:cs="Times New Roman"/>
          <w:noProof/>
          <w:sz w:val="24"/>
          <w:szCs w:val="24"/>
        </w:rPr>
        <w:t>2</w:t>
      </w:r>
      <w:r w:rsidRPr="001E3A0E">
        <w:rPr>
          <w:rFonts w:ascii="Times New Roman" w:hAnsi="Times New Roman" w:cs="Times New Roman"/>
          <w:i/>
          <w:iCs/>
          <w:sz w:val="24"/>
          <w:szCs w:val="24"/>
        </w:rPr>
        <w:fldChar w:fldCharType="end"/>
      </w:r>
      <w:bookmarkEnd w:id="3"/>
      <w:r w:rsidRPr="001E3A0E">
        <w:rPr>
          <w:rFonts w:ascii="Times New Roman" w:hAnsi="Times New Roman" w:cs="Times New Roman"/>
          <w:sz w:val="24"/>
          <w:szCs w:val="24"/>
        </w:rPr>
        <w:t xml:space="preserve"> Annual transition probabilities</w:t>
      </w:r>
    </w:p>
    <w:tbl>
      <w:tblPr>
        <w:tblW w:w="7797" w:type="dxa"/>
        <w:tblLook w:val="04A0" w:firstRow="1" w:lastRow="0" w:firstColumn="1" w:lastColumn="0" w:noHBand="0" w:noVBand="1"/>
      </w:tblPr>
      <w:tblGrid>
        <w:gridCol w:w="3119"/>
        <w:gridCol w:w="1134"/>
        <w:gridCol w:w="1134"/>
        <w:gridCol w:w="1134"/>
        <w:gridCol w:w="1276"/>
      </w:tblGrid>
      <w:tr w:rsidR="00885640" w:rsidRPr="001E3A0E" w14:paraId="2287A352" w14:textId="77777777" w:rsidTr="00885640">
        <w:trPr>
          <w:trHeight w:val="320"/>
        </w:trPr>
        <w:tc>
          <w:tcPr>
            <w:tcW w:w="3119" w:type="dxa"/>
            <w:tcBorders>
              <w:bottom w:val="single" w:sz="4" w:space="0" w:color="auto"/>
              <w:right w:val="single" w:sz="4" w:space="0" w:color="auto"/>
            </w:tcBorders>
            <w:shd w:val="clear" w:color="auto" w:fill="auto"/>
            <w:noWrap/>
            <w:vAlign w:val="bottom"/>
          </w:tcPr>
          <w:p w14:paraId="1A6AAD0B" w14:textId="77777777" w:rsidR="00885640" w:rsidRPr="001E3A0E" w:rsidRDefault="00885640" w:rsidP="00885640">
            <w:pPr>
              <w:rPr>
                <w:rFonts w:eastAsiaTheme="minorHAnsi"/>
                <w:sz w:val="24"/>
                <w:lang w:eastAsia="en-US"/>
              </w:rPr>
            </w:pPr>
            <w:r w:rsidRPr="001E3A0E">
              <w:rPr>
                <w:rFonts w:eastAsiaTheme="minorHAnsi"/>
                <w:noProof/>
                <w:sz w:val="24"/>
                <w:lang w:eastAsia="en-US"/>
              </w:rPr>
              <w:t>Thompson et al. (2018)</w:t>
            </w:r>
            <w:r w:rsidRPr="001E3A0E">
              <w:rPr>
                <w:rFonts w:eastAsiaTheme="minorHAnsi"/>
                <w:sz w:val="24"/>
                <w:lang w:eastAsia="en-US"/>
              </w:rPr>
              <w:t xml:space="preserve"> (ID:1)</w:t>
            </w:r>
          </w:p>
        </w:tc>
        <w:tc>
          <w:tcPr>
            <w:tcW w:w="4678" w:type="dxa"/>
            <w:gridSpan w:val="4"/>
            <w:tcBorders>
              <w:left w:val="single" w:sz="4" w:space="0" w:color="auto"/>
              <w:bottom w:val="single" w:sz="4" w:space="0" w:color="auto"/>
            </w:tcBorders>
            <w:shd w:val="clear" w:color="auto" w:fill="auto"/>
            <w:noWrap/>
            <w:vAlign w:val="bottom"/>
          </w:tcPr>
          <w:p w14:paraId="097D2F2E" w14:textId="77777777" w:rsidR="00885640" w:rsidRPr="001E3A0E" w:rsidRDefault="00885640" w:rsidP="00885640">
            <w:pPr>
              <w:rPr>
                <w:rFonts w:eastAsiaTheme="minorHAnsi"/>
                <w:sz w:val="24"/>
                <w:lang w:eastAsia="en-US"/>
              </w:rPr>
            </w:pPr>
            <w:r w:rsidRPr="001E3A0E">
              <w:rPr>
                <w:rFonts w:eastAsiaTheme="minorHAnsi"/>
                <w:sz w:val="24"/>
                <w:lang w:eastAsia="en-US"/>
              </w:rPr>
              <w:t xml:space="preserve">Annual transition </w:t>
            </w:r>
          </w:p>
        </w:tc>
      </w:tr>
      <w:tr w:rsidR="00885640" w:rsidRPr="001E3A0E" w14:paraId="7A9CAF74" w14:textId="77777777" w:rsidTr="00885640">
        <w:trPr>
          <w:trHeight w:val="320"/>
        </w:trPr>
        <w:tc>
          <w:tcPr>
            <w:tcW w:w="3119" w:type="dxa"/>
            <w:tcBorders>
              <w:top w:val="single" w:sz="4" w:space="0" w:color="auto"/>
              <w:bottom w:val="single" w:sz="4" w:space="0" w:color="auto"/>
              <w:right w:val="single" w:sz="4" w:space="0" w:color="auto"/>
            </w:tcBorders>
            <w:shd w:val="clear" w:color="auto" w:fill="auto"/>
            <w:noWrap/>
            <w:vAlign w:val="bottom"/>
            <w:hideMark/>
          </w:tcPr>
          <w:p w14:paraId="48914FB0" w14:textId="77777777" w:rsidR="00885640" w:rsidRPr="001E3A0E" w:rsidRDefault="00885640" w:rsidP="00885640">
            <w:pPr>
              <w:rPr>
                <w:rFonts w:eastAsiaTheme="minorHAnsi"/>
                <w:sz w:val="24"/>
                <w:lang w:eastAsia="en-US"/>
              </w:rPr>
            </w:pPr>
            <w:r w:rsidRPr="001E3A0E">
              <w:rPr>
                <w:rFonts w:eastAsiaTheme="minorHAnsi"/>
                <w:sz w:val="24"/>
                <w:lang w:eastAsia="en-US"/>
              </w:rPr>
              <w:t>Frailty status at baseline</w:t>
            </w:r>
          </w:p>
        </w:tc>
        <w:tc>
          <w:tcPr>
            <w:tcW w:w="1134" w:type="dxa"/>
            <w:tcBorders>
              <w:top w:val="single" w:sz="4" w:space="0" w:color="auto"/>
              <w:left w:val="single" w:sz="4" w:space="0" w:color="auto"/>
              <w:bottom w:val="single" w:sz="4" w:space="0" w:color="auto"/>
            </w:tcBorders>
            <w:shd w:val="clear" w:color="auto" w:fill="auto"/>
            <w:noWrap/>
            <w:vAlign w:val="bottom"/>
            <w:hideMark/>
          </w:tcPr>
          <w:p w14:paraId="09AAF70C"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Non-frail</w:t>
            </w:r>
          </w:p>
        </w:tc>
        <w:tc>
          <w:tcPr>
            <w:tcW w:w="1134" w:type="dxa"/>
            <w:tcBorders>
              <w:top w:val="single" w:sz="4" w:space="0" w:color="auto"/>
              <w:bottom w:val="single" w:sz="4" w:space="0" w:color="auto"/>
            </w:tcBorders>
            <w:shd w:val="clear" w:color="auto" w:fill="auto"/>
            <w:noWrap/>
            <w:vAlign w:val="bottom"/>
            <w:hideMark/>
          </w:tcPr>
          <w:p w14:paraId="7ED42E3E"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Pre-frail</w:t>
            </w:r>
          </w:p>
        </w:tc>
        <w:tc>
          <w:tcPr>
            <w:tcW w:w="1134" w:type="dxa"/>
            <w:tcBorders>
              <w:top w:val="single" w:sz="4" w:space="0" w:color="auto"/>
              <w:bottom w:val="single" w:sz="4" w:space="0" w:color="auto"/>
            </w:tcBorders>
            <w:shd w:val="clear" w:color="auto" w:fill="auto"/>
            <w:noWrap/>
            <w:vAlign w:val="bottom"/>
            <w:hideMark/>
          </w:tcPr>
          <w:p w14:paraId="2CFF0B24"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 xml:space="preserve">Frail </w:t>
            </w:r>
          </w:p>
        </w:tc>
        <w:tc>
          <w:tcPr>
            <w:tcW w:w="1276" w:type="dxa"/>
            <w:tcBorders>
              <w:top w:val="single" w:sz="4" w:space="0" w:color="auto"/>
              <w:bottom w:val="single" w:sz="4" w:space="0" w:color="auto"/>
            </w:tcBorders>
            <w:shd w:val="clear" w:color="auto" w:fill="auto"/>
            <w:noWrap/>
            <w:vAlign w:val="bottom"/>
            <w:hideMark/>
          </w:tcPr>
          <w:p w14:paraId="4F5B3F6A"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Death</w:t>
            </w:r>
          </w:p>
        </w:tc>
      </w:tr>
      <w:tr w:rsidR="00885640" w:rsidRPr="001E3A0E" w14:paraId="00E22085" w14:textId="77777777" w:rsidTr="00885640">
        <w:trPr>
          <w:trHeight w:val="320"/>
        </w:trPr>
        <w:tc>
          <w:tcPr>
            <w:tcW w:w="3119" w:type="dxa"/>
            <w:tcBorders>
              <w:top w:val="single" w:sz="4" w:space="0" w:color="auto"/>
              <w:right w:val="single" w:sz="4" w:space="0" w:color="auto"/>
            </w:tcBorders>
            <w:shd w:val="clear" w:color="auto" w:fill="auto"/>
            <w:noWrap/>
            <w:vAlign w:val="bottom"/>
            <w:hideMark/>
          </w:tcPr>
          <w:p w14:paraId="6803EF32"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Non-frail</w:t>
            </w:r>
          </w:p>
        </w:tc>
        <w:tc>
          <w:tcPr>
            <w:tcW w:w="1134" w:type="dxa"/>
            <w:tcBorders>
              <w:top w:val="single" w:sz="4" w:space="0" w:color="auto"/>
              <w:left w:val="single" w:sz="4" w:space="0" w:color="auto"/>
            </w:tcBorders>
            <w:shd w:val="clear" w:color="auto" w:fill="auto"/>
            <w:noWrap/>
            <w:vAlign w:val="bottom"/>
            <w:hideMark/>
          </w:tcPr>
          <w:p w14:paraId="79FC4D5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0.86</w:t>
            </w:r>
          </w:p>
        </w:tc>
        <w:tc>
          <w:tcPr>
            <w:tcW w:w="1134" w:type="dxa"/>
            <w:tcBorders>
              <w:top w:val="single" w:sz="4" w:space="0" w:color="auto"/>
            </w:tcBorders>
            <w:shd w:val="clear" w:color="auto" w:fill="auto"/>
            <w:noWrap/>
            <w:vAlign w:val="bottom"/>
            <w:hideMark/>
          </w:tcPr>
          <w:p w14:paraId="5F2F1BCD"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0.12</w:t>
            </w:r>
          </w:p>
        </w:tc>
        <w:tc>
          <w:tcPr>
            <w:tcW w:w="1134" w:type="dxa"/>
            <w:tcBorders>
              <w:top w:val="single" w:sz="4" w:space="0" w:color="auto"/>
            </w:tcBorders>
            <w:shd w:val="clear" w:color="auto" w:fill="auto"/>
            <w:noWrap/>
            <w:vAlign w:val="bottom"/>
            <w:hideMark/>
          </w:tcPr>
          <w:p w14:paraId="2D4A7F96"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0.01</w:t>
            </w:r>
          </w:p>
        </w:tc>
        <w:tc>
          <w:tcPr>
            <w:tcW w:w="1276" w:type="dxa"/>
            <w:tcBorders>
              <w:top w:val="single" w:sz="4" w:space="0" w:color="auto"/>
            </w:tcBorders>
            <w:shd w:val="clear" w:color="auto" w:fill="auto"/>
            <w:noWrap/>
            <w:vAlign w:val="bottom"/>
            <w:hideMark/>
          </w:tcPr>
          <w:p w14:paraId="1E0D577D"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0.01</w:t>
            </w:r>
          </w:p>
        </w:tc>
      </w:tr>
      <w:tr w:rsidR="00885640" w:rsidRPr="001E3A0E" w14:paraId="228CAD7E" w14:textId="77777777" w:rsidTr="00885640">
        <w:trPr>
          <w:trHeight w:val="320"/>
        </w:trPr>
        <w:tc>
          <w:tcPr>
            <w:tcW w:w="3119" w:type="dxa"/>
            <w:tcBorders>
              <w:right w:val="single" w:sz="4" w:space="0" w:color="auto"/>
            </w:tcBorders>
            <w:shd w:val="clear" w:color="auto" w:fill="auto"/>
            <w:noWrap/>
            <w:vAlign w:val="bottom"/>
            <w:hideMark/>
          </w:tcPr>
          <w:p w14:paraId="7E063414"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Pre-frail</w:t>
            </w:r>
          </w:p>
        </w:tc>
        <w:tc>
          <w:tcPr>
            <w:tcW w:w="1134" w:type="dxa"/>
            <w:tcBorders>
              <w:left w:val="single" w:sz="4" w:space="0" w:color="auto"/>
            </w:tcBorders>
            <w:shd w:val="clear" w:color="auto" w:fill="auto"/>
            <w:noWrap/>
            <w:vAlign w:val="bottom"/>
            <w:hideMark/>
          </w:tcPr>
          <w:p w14:paraId="4F08D216"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0.06</w:t>
            </w:r>
          </w:p>
        </w:tc>
        <w:tc>
          <w:tcPr>
            <w:tcW w:w="1134" w:type="dxa"/>
            <w:shd w:val="clear" w:color="000000" w:fill="auto"/>
            <w:noWrap/>
            <w:vAlign w:val="bottom"/>
            <w:hideMark/>
          </w:tcPr>
          <w:p w14:paraId="20706DE3" w14:textId="77777777" w:rsidR="00885640" w:rsidRPr="001E3A0E" w:rsidRDefault="00885640" w:rsidP="00885640">
            <w:pPr>
              <w:jc w:val="right"/>
              <w:rPr>
                <w:rFonts w:eastAsiaTheme="minorHAnsi"/>
                <w:sz w:val="24"/>
                <w:lang w:eastAsia="en-US"/>
              </w:rPr>
            </w:pPr>
            <w:r w:rsidRPr="001E3A0E">
              <w:rPr>
                <w:sz w:val="24"/>
              </w:rPr>
              <w:t>0.79</w:t>
            </w:r>
          </w:p>
        </w:tc>
        <w:tc>
          <w:tcPr>
            <w:tcW w:w="1134" w:type="dxa"/>
            <w:shd w:val="clear" w:color="000000" w:fill="auto"/>
            <w:noWrap/>
            <w:vAlign w:val="bottom"/>
            <w:hideMark/>
          </w:tcPr>
          <w:p w14:paraId="1434536B" w14:textId="77777777" w:rsidR="00885640" w:rsidRPr="001E3A0E" w:rsidRDefault="00885640" w:rsidP="00885640">
            <w:pPr>
              <w:jc w:val="right"/>
              <w:rPr>
                <w:rFonts w:eastAsiaTheme="minorHAnsi"/>
                <w:sz w:val="24"/>
                <w:lang w:eastAsia="en-US"/>
              </w:rPr>
            </w:pPr>
            <w:r w:rsidRPr="001E3A0E">
              <w:rPr>
                <w:sz w:val="24"/>
              </w:rPr>
              <w:t>0.13</w:t>
            </w:r>
          </w:p>
        </w:tc>
        <w:tc>
          <w:tcPr>
            <w:tcW w:w="1276" w:type="dxa"/>
            <w:shd w:val="clear" w:color="auto" w:fill="auto"/>
            <w:noWrap/>
            <w:vAlign w:val="bottom"/>
            <w:hideMark/>
          </w:tcPr>
          <w:p w14:paraId="3670DAF5"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0.01</w:t>
            </w:r>
          </w:p>
        </w:tc>
      </w:tr>
      <w:tr w:rsidR="00885640" w:rsidRPr="001E3A0E" w14:paraId="3DFFA352" w14:textId="77777777" w:rsidTr="00885640">
        <w:trPr>
          <w:trHeight w:val="320"/>
        </w:trPr>
        <w:tc>
          <w:tcPr>
            <w:tcW w:w="3119" w:type="dxa"/>
            <w:tcBorders>
              <w:right w:val="single" w:sz="4" w:space="0" w:color="auto"/>
            </w:tcBorders>
            <w:shd w:val="clear" w:color="auto" w:fill="auto"/>
            <w:noWrap/>
            <w:vAlign w:val="bottom"/>
            <w:hideMark/>
          </w:tcPr>
          <w:p w14:paraId="09E86F0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 xml:space="preserve">Frail </w:t>
            </w:r>
          </w:p>
        </w:tc>
        <w:tc>
          <w:tcPr>
            <w:tcW w:w="1134" w:type="dxa"/>
            <w:tcBorders>
              <w:left w:val="single" w:sz="4" w:space="0" w:color="auto"/>
            </w:tcBorders>
            <w:shd w:val="clear" w:color="auto" w:fill="auto"/>
            <w:noWrap/>
            <w:vAlign w:val="bottom"/>
            <w:hideMark/>
          </w:tcPr>
          <w:p w14:paraId="34F71DA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0.00</w:t>
            </w:r>
          </w:p>
        </w:tc>
        <w:tc>
          <w:tcPr>
            <w:tcW w:w="1134" w:type="dxa"/>
            <w:shd w:val="clear" w:color="auto" w:fill="auto"/>
            <w:noWrap/>
            <w:vAlign w:val="bottom"/>
            <w:hideMark/>
          </w:tcPr>
          <w:p w14:paraId="07388009"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0.03</w:t>
            </w:r>
          </w:p>
        </w:tc>
        <w:tc>
          <w:tcPr>
            <w:tcW w:w="1134" w:type="dxa"/>
            <w:shd w:val="clear" w:color="auto" w:fill="auto"/>
            <w:noWrap/>
            <w:vAlign w:val="bottom"/>
            <w:hideMark/>
          </w:tcPr>
          <w:p w14:paraId="1D9484E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0.89</w:t>
            </w:r>
          </w:p>
        </w:tc>
        <w:tc>
          <w:tcPr>
            <w:tcW w:w="1276" w:type="dxa"/>
            <w:shd w:val="clear" w:color="auto" w:fill="auto"/>
            <w:noWrap/>
            <w:vAlign w:val="bottom"/>
            <w:hideMark/>
          </w:tcPr>
          <w:p w14:paraId="65BA7AA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0.08</w:t>
            </w:r>
          </w:p>
        </w:tc>
      </w:tr>
    </w:tbl>
    <w:p w14:paraId="13294E0B" w14:textId="77777777" w:rsidR="00885640" w:rsidRPr="001E3A0E" w:rsidRDefault="00885640" w:rsidP="00885640">
      <w:pPr>
        <w:rPr>
          <w:rFonts w:eastAsiaTheme="minorHAnsi"/>
          <w:sz w:val="24"/>
          <w:lang w:eastAsia="en-US"/>
        </w:rPr>
      </w:pPr>
    </w:p>
    <w:tbl>
      <w:tblPr>
        <w:tblW w:w="7797" w:type="dxa"/>
        <w:tblLook w:val="04A0" w:firstRow="1" w:lastRow="0" w:firstColumn="1" w:lastColumn="0" w:noHBand="0" w:noVBand="1"/>
      </w:tblPr>
      <w:tblGrid>
        <w:gridCol w:w="3119"/>
        <w:gridCol w:w="1276"/>
        <w:gridCol w:w="1134"/>
        <w:gridCol w:w="992"/>
        <w:gridCol w:w="1276"/>
      </w:tblGrid>
      <w:tr w:rsidR="00885640" w:rsidRPr="001E3A0E" w14:paraId="196826AF" w14:textId="77777777" w:rsidTr="00885640">
        <w:trPr>
          <w:trHeight w:val="320"/>
        </w:trPr>
        <w:tc>
          <w:tcPr>
            <w:tcW w:w="3119" w:type="dxa"/>
            <w:tcBorders>
              <w:bottom w:val="single" w:sz="4" w:space="0" w:color="auto"/>
              <w:right w:val="single" w:sz="4" w:space="0" w:color="auto"/>
            </w:tcBorders>
            <w:shd w:val="clear" w:color="auto" w:fill="auto"/>
            <w:noWrap/>
            <w:vAlign w:val="bottom"/>
          </w:tcPr>
          <w:p w14:paraId="32A3B9E3" w14:textId="0EE7727B" w:rsidR="00885640" w:rsidRPr="001E3A0E" w:rsidRDefault="00885640" w:rsidP="00885640">
            <w:pPr>
              <w:rPr>
                <w:rFonts w:eastAsiaTheme="minorHAnsi"/>
                <w:sz w:val="24"/>
                <w:lang w:eastAsia="en-US"/>
              </w:rPr>
            </w:pPr>
            <w:r w:rsidRPr="001E3A0E">
              <w:rPr>
                <w:rFonts w:eastAsiaTheme="minorHAnsi"/>
                <w:noProof/>
                <w:sz w:val="24"/>
                <w:lang w:eastAsia="en-US"/>
              </w:rPr>
              <w:t>Ye et al. (2020)</w:t>
            </w:r>
            <w:r w:rsidR="004E70FE">
              <w:rPr>
                <w:rFonts w:eastAsiaTheme="minorHAnsi"/>
                <w:noProof/>
                <w:sz w:val="24"/>
                <w:lang w:eastAsia="en-US"/>
              </w:rPr>
              <w:t xml:space="preserve"> </w:t>
            </w:r>
            <w:r w:rsidRPr="001E3A0E">
              <w:rPr>
                <w:rFonts w:eastAsiaTheme="minorHAnsi"/>
                <w:sz w:val="24"/>
                <w:lang w:eastAsia="en-US"/>
              </w:rPr>
              <w:t>(ID:2)</w:t>
            </w:r>
          </w:p>
        </w:tc>
        <w:tc>
          <w:tcPr>
            <w:tcW w:w="4678" w:type="dxa"/>
            <w:gridSpan w:val="4"/>
            <w:tcBorders>
              <w:left w:val="single" w:sz="4" w:space="0" w:color="auto"/>
              <w:bottom w:val="single" w:sz="4" w:space="0" w:color="auto"/>
            </w:tcBorders>
            <w:shd w:val="clear" w:color="auto" w:fill="auto"/>
            <w:noWrap/>
            <w:vAlign w:val="bottom"/>
          </w:tcPr>
          <w:p w14:paraId="4E1F14A7" w14:textId="77777777" w:rsidR="00885640" w:rsidRPr="001E3A0E" w:rsidRDefault="00885640" w:rsidP="00885640">
            <w:pPr>
              <w:rPr>
                <w:rFonts w:eastAsiaTheme="minorHAnsi"/>
                <w:sz w:val="24"/>
                <w:lang w:eastAsia="en-US"/>
              </w:rPr>
            </w:pPr>
            <w:r w:rsidRPr="001E3A0E">
              <w:rPr>
                <w:rFonts w:eastAsiaTheme="minorHAnsi"/>
                <w:sz w:val="24"/>
                <w:lang w:eastAsia="en-US"/>
              </w:rPr>
              <w:t>Annual transition</w:t>
            </w:r>
          </w:p>
        </w:tc>
      </w:tr>
      <w:tr w:rsidR="00885640" w:rsidRPr="001E3A0E" w14:paraId="33D26750" w14:textId="77777777" w:rsidTr="00885640">
        <w:trPr>
          <w:trHeight w:val="320"/>
        </w:trPr>
        <w:tc>
          <w:tcPr>
            <w:tcW w:w="3119" w:type="dxa"/>
            <w:tcBorders>
              <w:top w:val="single" w:sz="4" w:space="0" w:color="auto"/>
              <w:bottom w:val="single" w:sz="4" w:space="0" w:color="auto"/>
              <w:right w:val="single" w:sz="4" w:space="0" w:color="auto"/>
            </w:tcBorders>
            <w:shd w:val="clear" w:color="auto" w:fill="auto"/>
            <w:noWrap/>
            <w:vAlign w:val="bottom"/>
            <w:hideMark/>
          </w:tcPr>
          <w:p w14:paraId="4BA0BD26" w14:textId="77777777" w:rsidR="00885640" w:rsidRPr="001E3A0E" w:rsidRDefault="00885640" w:rsidP="00885640">
            <w:pPr>
              <w:rPr>
                <w:rFonts w:eastAsiaTheme="minorHAnsi"/>
                <w:sz w:val="24"/>
                <w:lang w:eastAsia="en-US"/>
              </w:rPr>
            </w:pPr>
            <w:r w:rsidRPr="001E3A0E">
              <w:rPr>
                <w:rFonts w:eastAsiaTheme="minorHAnsi"/>
                <w:sz w:val="24"/>
                <w:lang w:eastAsia="en-US"/>
              </w:rPr>
              <w:t>Frailty status at baseline</w:t>
            </w:r>
          </w:p>
        </w:tc>
        <w:tc>
          <w:tcPr>
            <w:tcW w:w="1276" w:type="dxa"/>
            <w:tcBorders>
              <w:top w:val="single" w:sz="4" w:space="0" w:color="auto"/>
              <w:left w:val="single" w:sz="4" w:space="0" w:color="auto"/>
              <w:bottom w:val="single" w:sz="4" w:space="0" w:color="auto"/>
            </w:tcBorders>
            <w:shd w:val="clear" w:color="auto" w:fill="auto"/>
            <w:noWrap/>
            <w:hideMark/>
          </w:tcPr>
          <w:p w14:paraId="70852FC5" w14:textId="77777777" w:rsidR="00885640" w:rsidRPr="001E3A0E" w:rsidRDefault="00885640" w:rsidP="00885640">
            <w:pPr>
              <w:jc w:val="center"/>
              <w:rPr>
                <w:rFonts w:eastAsiaTheme="minorHAnsi"/>
                <w:sz w:val="24"/>
                <w:lang w:eastAsia="en-US"/>
              </w:rPr>
            </w:pPr>
            <w:r w:rsidRPr="001E3A0E">
              <w:rPr>
                <w:rFonts w:eastAsiaTheme="minorHAnsi"/>
                <w:sz w:val="24"/>
                <w:lang w:eastAsia="en-US"/>
              </w:rPr>
              <w:t>Non-frail</w:t>
            </w:r>
          </w:p>
        </w:tc>
        <w:tc>
          <w:tcPr>
            <w:tcW w:w="1134" w:type="dxa"/>
            <w:tcBorders>
              <w:top w:val="single" w:sz="4" w:space="0" w:color="auto"/>
              <w:bottom w:val="single" w:sz="4" w:space="0" w:color="auto"/>
            </w:tcBorders>
            <w:shd w:val="clear" w:color="auto" w:fill="auto"/>
            <w:noWrap/>
            <w:hideMark/>
          </w:tcPr>
          <w:p w14:paraId="40869805" w14:textId="77777777" w:rsidR="00885640" w:rsidRPr="001E3A0E" w:rsidRDefault="00885640" w:rsidP="00885640">
            <w:pPr>
              <w:jc w:val="center"/>
              <w:rPr>
                <w:rFonts w:eastAsiaTheme="minorHAnsi"/>
                <w:sz w:val="24"/>
                <w:lang w:eastAsia="en-US"/>
              </w:rPr>
            </w:pPr>
            <w:r w:rsidRPr="001E3A0E">
              <w:rPr>
                <w:rFonts w:eastAsiaTheme="minorHAnsi"/>
                <w:sz w:val="24"/>
                <w:lang w:eastAsia="en-US"/>
              </w:rPr>
              <w:t>Pre-frail</w:t>
            </w:r>
          </w:p>
        </w:tc>
        <w:tc>
          <w:tcPr>
            <w:tcW w:w="992" w:type="dxa"/>
            <w:tcBorders>
              <w:top w:val="single" w:sz="4" w:space="0" w:color="auto"/>
              <w:bottom w:val="single" w:sz="4" w:space="0" w:color="auto"/>
            </w:tcBorders>
            <w:shd w:val="clear" w:color="auto" w:fill="auto"/>
            <w:noWrap/>
            <w:hideMark/>
          </w:tcPr>
          <w:p w14:paraId="0682D09C" w14:textId="77777777" w:rsidR="00885640" w:rsidRPr="001E3A0E" w:rsidRDefault="00885640" w:rsidP="00885640">
            <w:pPr>
              <w:jc w:val="center"/>
              <w:rPr>
                <w:rFonts w:eastAsiaTheme="minorHAnsi"/>
                <w:sz w:val="24"/>
                <w:lang w:eastAsia="en-US"/>
              </w:rPr>
            </w:pPr>
            <w:r w:rsidRPr="001E3A0E">
              <w:rPr>
                <w:rFonts w:eastAsiaTheme="minorHAnsi"/>
                <w:sz w:val="24"/>
                <w:lang w:eastAsia="en-US"/>
              </w:rPr>
              <w:t>Frail</w:t>
            </w:r>
          </w:p>
        </w:tc>
        <w:tc>
          <w:tcPr>
            <w:tcW w:w="1276" w:type="dxa"/>
            <w:tcBorders>
              <w:top w:val="single" w:sz="4" w:space="0" w:color="auto"/>
              <w:bottom w:val="single" w:sz="4" w:space="0" w:color="auto"/>
            </w:tcBorders>
            <w:shd w:val="clear" w:color="auto" w:fill="auto"/>
            <w:noWrap/>
            <w:hideMark/>
          </w:tcPr>
          <w:p w14:paraId="6389AD83" w14:textId="77777777" w:rsidR="00885640" w:rsidRPr="001E3A0E" w:rsidRDefault="00885640" w:rsidP="00885640">
            <w:pPr>
              <w:jc w:val="center"/>
              <w:rPr>
                <w:rFonts w:eastAsiaTheme="minorHAnsi"/>
                <w:sz w:val="24"/>
                <w:lang w:eastAsia="en-US"/>
              </w:rPr>
            </w:pPr>
            <w:r w:rsidRPr="001E3A0E">
              <w:rPr>
                <w:rFonts w:eastAsiaTheme="minorHAnsi"/>
                <w:sz w:val="24"/>
                <w:lang w:eastAsia="en-US"/>
              </w:rPr>
              <w:t xml:space="preserve">       Death</w:t>
            </w:r>
          </w:p>
        </w:tc>
      </w:tr>
      <w:tr w:rsidR="00885640" w:rsidRPr="001E3A0E" w14:paraId="4D89CDE9" w14:textId="77777777" w:rsidTr="00885640">
        <w:trPr>
          <w:trHeight w:val="320"/>
        </w:trPr>
        <w:tc>
          <w:tcPr>
            <w:tcW w:w="3119" w:type="dxa"/>
            <w:tcBorders>
              <w:top w:val="single" w:sz="4" w:space="0" w:color="auto"/>
              <w:right w:val="single" w:sz="4" w:space="0" w:color="auto"/>
            </w:tcBorders>
            <w:shd w:val="clear" w:color="auto" w:fill="auto"/>
            <w:noWrap/>
            <w:vAlign w:val="bottom"/>
            <w:hideMark/>
          </w:tcPr>
          <w:p w14:paraId="29D2310B"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Non-frail</w:t>
            </w:r>
          </w:p>
        </w:tc>
        <w:tc>
          <w:tcPr>
            <w:tcW w:w="1276" w:type="dxa"/>
            <w:tcBorders>
              <w:top w:val="single" w:sz="4" w:space="0" w:color="auto"/>
              <w:left w:val="single" w:sz="4" w:space="0" w:color="auto"/>
            </w:tcBorders>
            <w:shd w:val="clear" w:color="auto" w:fill="auto"/>
            <w:noWrap/>
            <w:vAlign w:val="bottom"/>
            <w:hideMark/>
          </w:tcPr>
          <w:p w14:paraId="7FB049AF"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0.84</w:t>
            </w:r>
          </w:p>
        </w:tc>
        <w:tc>
          <w:tcPr>
            <w:tcW w:w="1134" w:type="dxa"/>
            <w:tcBorders>
              <w:top w:val="single" w:sz="4" w:space="0" w:color="auto"/>
            </w:tcBorders>
            <w:shd w:val="clear" w:color="auto" w:fill="auto"/>
            <w:noWrap/>
            <w:vAlign w:val="bottom"/>
            <w:hideMark/>
          </w:tcPr>
          <w:p w14:paraId="2907C4D9"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0.13</w:t>
            </w:r>
          </w:p>
        </w:tc>
        <w:tc>
          <w:tcPr>
            <w:tcW w:w="992" w:type="dxa"/>
            <w:tcBorders>
              <w:top w:val="single" w:sz="4" w:space="0" w:color="auto"/>
            </w:tcBorders>
            <w:shd w:val="clear" w:color="auto" w:fill="auto"/>
            <w:noWrap/>
            <w:vAlign w:val="bottom"/>
            <w:hideMark/>
          </w:tcPr>
          <w:p w14:paraId="2A177F7E"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0.02</w:t>
            </w:r>
          </w:p>
        </w:tc>
        <w:tc>
          <w:tcPr>
            <w:tcW w:w="1276" w:type="dxa"/>
            <w:tcBorders>
              <w:top w:val="single" w:sz="4" w:space="0" w:color="auto"/>
            </w:tcBorders>
            <w:shd w:val="clear" w:color="auto" w:fill="auto"/>
            <w:noWrap/>
            <w:vAlign w:val="bottom"/>
            <w:hideMark/>
          </w:tcPr>
          <w:p w14:paraId="6282C34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0.01</w:t>
            </w:r>
          </w:p>
        </w:tc>
      </w:tr>
      <w:tr w:rsidR="00885640" w:rsidRPr="001E3A0E" w14:paraId="3F85565A" w14:textId="77777777" w:rsidTr="00885640">
        <w:trPr>
          <w:trHeight w:val="320"/>
        </w:trPr>
        <w:tc>
          <w:tcPr>
            <w:tcW w:w="3119" w:type="dxa"/>
            <w:tcBorders>
              <w:right w:val="single" w:sz="4" w:space="0" w:color="auto"/>
            </w:tcBorders>
            <w:shd w:val="clear" w:color="auto" w:fill="auto"/>
            <w:noWrap/>
            <w:vAlign w:val="bottom"/>
            <w:hideMark/>
          </w:tcPr>
          <w:p w14:paraId="3AAD450D"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Pre-frail</w:t>
            </w:r>
          </w:p>
        </w:tc>
        <w:tc>
          <w:tcPr>
            <w:tcW w:w="1276" w:type="dxa"/>
            <w:tcBorders>
              <w:left w:val="single" w:sz="4" w:space="0" w:color="auto"/>
            </w:tcBorders>
            <w:shd w:val="clear" w:color="auto" w:fill="auto"/>
            <w:noWrap/>
            <w:vAlign w:val="bottom"/>
            <w:hideMark/>
          </w:tcPr>
          <w:p w14:paraId="243EE2A9"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0.27</w:t>
            </w:r>
          </w:p>
        </w:tc>
        <w:tc>
          <w:tcPr>
            <w:tcW w:w="1134" w:type="dxa"/>
            <w:shd w:val="clear" w:color="000000" w:fill="auto"/>
            <w:noWrap/>
            <w:vAlign w:val="bottom"/>
            <w:hideMark/>
          </w:tcPr>
          <w:p w14:paraId="1B8A263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0.57</w:t>
            </w:r>
          </w:p>
        </w:tc>
        <w:tc>
          <w:tcPr>
            <w:tcW w:w="992" w:type="dxa"/>
            <w:shd w:val="clear" w:color="000000" w:fill="auto"/>
            <w:noWrap/>
            <w:vAlign w:val="bottom"/>
            <w:hideMark/>
          </w:tcPr>
          <w:p w14:paraId="1DE7F381"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0.15</w:t>
            </w:r>
          </w:p>
        </w:tc>
        <w:tc>
          <w:tcPr>
            <w:tcW w:w="1276" w:type="dxa"/>
            <w:shd w:val="clear" w:color="auto" w:fill="auto"/>
            <w:noWrap/>
            <w:vAlign w:val="bottom"/>
            <w:hideMark/>
          </w:tcPr>
          <w:p w14:paraId="66755D3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0.01</w:t>
            </w:r>
          </w:p>
        </w:tc>
      </w:tr>
      <w:tr w:rsidR="00885640" w:rsidRPr="001E3A0E" w14:paraId="512BDB05" w14:textId="77777777" w:rsidTr="00885640">
        <w:trPr>
          <w:trHeight w:val="320"/>
        </w:trPr>
        <w:tc>
          <w:tcPr>
            <w:tcW w:w="3119" w:type="dxa"/>
            <w:tcBorders>
              <w:right w:val="single" w:sz="4" w:space="0" w:color="auto"/>
            </w:tcBorders>
            <w:shd w:val="clear" w:color="auto" w:fill="auto"/>
            <w:noWrap/>
            <w:vAlign w:val="bottom"/>
            <w:hideMark/>
          </w:tcPr>
          <w:p w14:paraId="794E98F4"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Frail</w:t>
            </w:r>
          </w:p>
        </w:tc>
        <w:tc>
          <w:tcPr>
            <w:tcW w:w="1276" w:type="dxa"/>
            <w:tcBorders>
              <w:left w:val="single" w:sz="4" w:space="0" w:color="auto"/>
            </w:tcBorders>
            <w:shd w:val="clear" w:color="auto" w:fill="auto"/>
            <w:noWrap/>
            <w:vAlign w:val="bottom"/>
            <w:hideMark/>
          </w:tcPr>
          <w:p w14:paraId="574EB5CF"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0.03</w:t>
            </w:r>
          </w:p>
        </w:tc>
        <w:tc>
          <w:tcPr>
            <w:tcW w:w="1134" w:type="dxa"/>
            <w:shd w:val="clear" w:color="auto" w:fill="auto"/>
            <w:noWrap/>
            <w:vAlign w:val="bottom"/>
            <w:hideMark/>
          </w:tcPr>
          <w:p w14:paraId="01A1B912"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0.17</w:t>
            </w:r>
          </w:p>
        </w:tc>
        <w:tc>
          <w:tcPr>
            <w:tcW w:w="992" w:type="dxa"/>
            <w:shd w:val="clear" w:color="auto" w:fill="auto"/>
            <w:noWrap/>
            <w:vAlign w:val="bottom"/>
            <w:hideMark/>
          </w:tcPr>
          <w:p w14:paraId="3445861C"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0.68</w:t>
            </w:r>
          </w:p>
        </w:tc>
        <w:tc>
          <w:tcPr>
            <w:tcW w:w="1276" w:type="dxa"/>
            <w:shd w:val="clear" w:color="auto" w:fill="auto"/>
            <w:noWrap/>
            <w:vAlign w:val="bottom"/>
            <w:hideMark/>
          </w:tcPr>
          <w:p w14:paraId="6A36BE35"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0.12</w:t>
            </w:r>
          </w:p>
        </w:tc>
      </w:tr>
    </w:tbl>
    <w:p w14:paraId="1A7E3638" w14:textId="77777777" w:rsidR="00885640" w:rsidRPr="001E3A0E" w:rsidRDefault="00885640" w:rsidP="00885640">
      <w:pPr>
        <w:spacing w:line="360" w:lineRule="auto"/>
        <w:rPr>
          <w:sz w:val="24"/>
        </w:rPr>
      </w:pPr>
    </w:p>
    <w:tbl>
      <w:tblPr>
        <w:tblW w:w="7837" w:type="dxa"/>
        <w:tblLook w:val="04A0" w:firstRow="1" w:lastRow="0" w:firstColumn="1" w:lastColumn="0" w:noHBand="0" w:noVBand="1"/>
      </w:tblPr>
      <w:tblGrid>
        <w:gridCol w:w="3119"/>
        <w:gridCol w:w="1220"/>
        <w:gridCol w:w="1258"/>
        <w:gridCol w:w="840"/>
        <w:gridCol w:w="1400"/>
      </w:tblGrid>
      <w:tr w:rsidR="00885640" w:rsidRPr="001E3A0E" w14:paraId="21D3FBBC" w14:textId="77777777" w:rsidTr="00885640">
        <w:trPr>
          <w:trHeight w:val="333"/>
        </w:trPr>
        <w:tc>
          <w:tcPr>
            <w:tcW w:w="3119" w:type="dxa"/>
            <w:tcBorders>
              <w:right w:val="single" w:sz="4" w:space="0" w:color="auto"/>
            </w:tcBorders>
            <w:shd w:val="clear" w:color="auto" w:fill="auto"/>
            <w:noWrap/>
            <w:vAlign w:val="bottom"/>
            <w:hideMark/>
          </w:tcPr>
          <w:p w14:paraId="76F2CF4B" w14:textId="601F923A" w:rsidR="00885640" w:rsidRPr="001E3A0E" w:rsidRDefault="00885640" w:rsidP="00885640">
            <w:pPr>
              <w:rPr>
                <w:rFonts w:eastAsiaTheme="minorHAnsi"/>
                <w:sz w:val="24"/>
                <w:lang w:eastAsia="en-US"/>
              </w:rPr>
            </w:pPr>
            <w:r w:rsidRPr="001E3A0E">
              <w:rPr>
                <w:rFonts w:eastAsiaTheme="minorHAnsi"/>
                <w:noProof/>
                <w:sz w:val="24"/>
                <w:lang w:eastAsia="en-US"/>
              </w:rPr>
              <w:t>Liu et al. (2018)</w:t>
            </w:r>
            <w:r w:rsidR="004E70FE">
              <w:rPr>
                <w:rFonts w:eastAsiaTheme="minorHAnsi"/>
                <w:noProof/>
                <w:sz w:val="24"/>
                <w:lang w:eastAsia="en-US"/>
              </w:rPr>
              <w:t xml:space="preserve"> </w:t>
            </w:r>
            <w:r w:rsidRPr="001E3A0E">
              <w:rPr>
                <w:rFonts w:eastAsiaTheme="minorHAnsi"/>
                <w:sz w:val="24"/>
                <w:lang w:eastAsia="en-US"/>
              </w:rPr>
              <w:t>(ID:3)</w:t>
            </w:r>
          </w:p>
        </w:tc>
        <w:tc>
          <w:tcPr>
            <w:tcW w:w="4718" w:type="dxa"/>
            <w:gridSpan w:val="4"/>
            <w:tcBorders>
              <w:left w:val="single" w:sz="4" w:space="0" w:color="auto"/>
              <w:bottom w:val="single" w:sz="4" w:space="0" w:color="auto"/>
            </w:tcBorders>
            <w:shd w:val="clear" w:color="auto" w:fill="auto"/>
            <w:noWrap/>
            <w:vAlign w:val="bottom"/>
            <w:hideMark/>
          </w:tcPr>
          <w:p w14:paraId="5C075EFD" w14:textId="77777777" w:rsidR="00885640" w:rsidRPr="001E3A0E" w:rsidRDefault="00885640" w:rsidP="00885640">
            <w:pPr>
              <w:rPr>
                <w:rFonts w:eastAsiaTheme="minorHAnsi"/>
                <w:sz w:val="24"/>
                <w:lang w:eastAsia="en-US"/>
              </w:rPr>
            </w:pPr>
            <w:r w:rsidRPr="001E3A0E">
              <w:rPr>
                <w:rFonts w:eastAsiaTheme="minorHAnsi"/>
                <w:sz w:val="24"/>
                <w:lang w:eastAsia="en-US"/>
              </w:rPr>
              <w:t>Annual transition</w:t>
            </w:r>
          </w:p>
        </w:tc>
      </w:tr>
      <w:tr w:rsidR="00885640" w:rsidRPr="001E3A0E" w14:paraId="7BA50110" w14:textId="77777777" w:rsidTr="00885640">
        <w:trPr>
          <w:trHeight w:val="333"/>
        </w:trPr>
        <w:tc>
          <w:tcPr>
            <w:tcW w:w="3119" w:type="dxa"/>
            <w:tcBorders>
              <w:top w:val="single" w:sz="4" w:space="0" w:color="auto"/>
              <w:bottom w:val="single" w:sz="4" w:space="0" w:color="auto"/>
              <w:right w:val="single" w:sz="4" w:space="0" w:color="auto"/>
            </w:tcBorders>
            <w:shd w:val="clear" w:color="auto" w:fill="auto"/>
            <w:noWrap/>
            <w:vAlign w:val="bottom"/>
          </w:tcPr>
          <w:p w14:paraId="5C6D1D62" w14:textId="77777777" w:rsidR="00885640" w:rsidRPr="001E3A0E" w:rsidRDefault="00885640" w:rsidP="00885640">
            <w:pPr>
              <w:rPr>
                <w:rFonts w:eastAsiaTheme="minorHAnsi"/>
                <w:sz w:val="24"/>
                <w:lang w:eastAsia="en-US"/>
              </w:rPr>
            </w:pPr>
            <w:r w:rsidRPr="001E3A0E">
              <w:rPr>
                <w:rFonts w:eastAsiaTheme="minorHAnsi"/>
                <w:sz w:val="24"/>
                <w:lang w:eastAsia="en-US"/>
              </w:rPr>
              <w:t>Frailty status at baseline</w:t>
            </w:r>
          </w:p>
        </w:tc>
        <w:tc>
          <w:tcPr>
            <w:tcW w:w="1220" w:type="dxa"/>
            <w:tcBorders>
              <w:top w:val="single" w:sz="4" w:space="0" w:color="auto"/>
              <w:left w:val="single" w:sz="4" w:space="0" w:color="auto"/>
              <w:bottom w:val="single" w:sz="4" w:space="0" w:color="auto"/>
            </w:tcBorders>
            <w:shd w:val="clear" w:color="auto" w:fill="auto"/>
            <w:noWrap/>
            <w:vAlign w:val="bottom"/>
          </w:tcPr>
          <w:p w14:paraId="610D1A62"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Non-frail</w:t>
            </w:r>
          </w:p>
        </w:tc>
        <w:tc>
          <w:tcPr>
            <w:tcW w:w="1258" w:type="dxa"/>
            <w:tcBorders>
              <w:top w:val="single" w:sz="4" w:space="0" w:color="auto"/>
              <w:bottom w:val="single" w:sz="4" w:space="0" w:color="auto"/>
            </w:tcBorders>
            <w:shd w:val="clear" w:color="auto" w:fill="auto"/>
            <w:noWrap/>
            <w:vAlign w:val="bottom"/>
          </w:tcPr>
          <w:p w14:paraId="4EB9FD0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Pre-Frail</w:t>
            </w:r>
          </w:p>
        </w:tc>
        <w:tc>
          <w:tcPr>
            <w:tcW w:w="840" w:type="dxa"/>
            <w:tcBorders>
              <w:top w:val="single" w:sz="4" w:space="0" w:color="auto"/>
              <w:bottom w:val="single" w:sz="4" w:space="0" w:color="auto"/>
            </w:tcBorders>
            <w:shd w:val="clear" w:color="auto" w:fill="auto"/>
            <w:noWrap/>
            <w:vAlign w:val="bottom"/>
          </w:tcPr>
          <w:p w14:paraId="502C4D02"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 xml:space="preserve">Frail </w:t>
            </w:r>
          </w:p>
        </w:tc>
        <w:tc>
          <w:tcPr>
            <w:tcW w:w="1400" w:type="dxa"/>
            <w:tcBorders>
              <w:top w:val="single" w:sz="4" w:space="0" w:color="auto"/>
              <w:bottom w:val="single" w:sz="4" w:space="0" w:color="auto"/>
            </w:tcBorders>
            <w:shd w:val="clear" w:color="auto" w:fill="auto"/>
            <w:noWrap/>
            <w:vAlign w:val="bottom"/>
          </w:tcPr>
          <w:p w14:paraId="4E93154D"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Death</w:t>
            </w:r>
          </w:p>
        </w:tc>
      </w:tr>
      <w:tr w:rsidR="00885640" w:rsidRPr="001E3A0E" w14:paraId="08DBF8D7" w14:textId="77777777" w:rsidTr="00885640">
        <w:trPr>
          <w:trHeight w:val="333"/>
        </w:trPr>
        <w:tc>
          <w:tcPr>
            <w:tcW w:w="3119" w:type="dxa"/>
            <w:tcBorders>
              <w:top w:val="single" w:sz="4" w:space="0" w:color="auto"/>
              <w:right w:val="single" w:sz="4" w:space="0" w:color="auto"/>
            </w:tcBorders>
            <w:shd w:val="clear" w:color="auto" w:fill="auto"/>
            <w:noWrap/>
            <w:vAlign w:val="bottom"/>
            <w:hideMark/>
          </w:tcPr>
          <w:p w14:paraId="0426B7B4"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Non-frail</w:t>
            </w:r>
          </w:p>
        </w:tc>
        <w:tc>
          <w:tcPr>
            <w:tcW w:w="1220" w:type="dxa"/>
            <w:tcBorders>
              <w:top w:val="single" w:sz="4" w:space="0" w:color="auto"/>
              <w:left w:val="single" w:sz="4" w:space="0" w:color="auto"/>
            </w:tcBorders>
            <w:shd w:val="clear" w:color="auto" w:fill="auto"/>
            <w:noWrap/>
            <w:vAlign w:val="bottom"/>
            <w:hideMark/>
          </w:tcPr>
          <w:p w14:paraId="5C6235A7"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0.62</w:t>
            </w:r>
          </w:p>
        </w:tc>
        <w:tc>
          <w:tcPr>
            <w:tcW w:w="1258" w:type="dxa"/>
            <w:tcBorders>
              <w:top w:val="single" w:sz="4" w:space="0" w:color="auto"/>
            </w:tcBorders>
            <w:shd w:val="clear" w:color="auto" w:fill="auto"/>
            <w:noWrap/>
            <w:vAlign w:val="bottom"/>
            <w:hideMark/>
          </w:tcPr>
          <w:p w14:paraId="3EB12986"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0.34</w:t>
            </w:r>
          </w:p>
        </w:tc>
        <w:tc>
          <w:tcPr>
            <w:tcW w:w="840" w:type="dxa"/>
            <w:tcBorders>
              <w:top w:val="single" w:sz="4" w:space="0" w:color="auto"/>
            </w:tcBorders>
            <w:shd w:val="clear" w:color="auto" w:fill="auto"/>
            <w:noWrap/>
            <w:vAlign w:val="bottom"/>
            <w:hideMark/>
          </w:tcPr>
          <w:p w14:paraId="2D92DC10"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0.00</w:t>
            </w:r>
          </w:p>
        </w:tc>
        <w:tc>
          <w:tcPr>
            <w:tcW w:w="1400" w:type="dxa"/>
            <w:tcBorders>
              <w:top w:val="single" w:sz="4" w:space="0" w:color="auto"/>
            </w:tcBorders>
            <w:shd w:val="clear" w:color="auto" w:fill="auto"/>
            <w:noWrap/>
            <w:vAlign w:val="bottom"/>
            <w:hideMark/>
          </w:tcPr>
          <w:p w14:paraId="7611183E"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0.04</w:t>
            </w:r>
          </w:p>
        </w:tc>
      </w:tr>
      <w:tr w:rsidR="00885640" w:rsidRPr="001E3A0E" w14:paraId="46743B55" w14:textId="77777777" w:rsidTr="00885640">
        <w:trPr>
          <w:trHeight w:val="333"/>
        </w:trPr>
        <w:tc>
          <w:tcPr>
            <w:tcW w:w="3119" w:type="dxa"/>
            <w:tcBorders>
              <w:right w:val="single" w:sz="4" w:space="0" w:color="auto"/>
            </w:tcBorders>
            <w:shd w:val="clear" w:color="auto" w:fill="auto"/>
            <w:noWrap/>
            <w:vAlign w:val="bottom"/>
            <w:hideMark/>
          </w:tcPr>
          <w:p w14:paraId="79E5FC6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Pre-frail</w:t>
            </w:r>
          </w:p>
        </w:tc>
        <w:tc>
          <w:tcPr>
            <w:tcW w:w="1220" w:type="dxa"/>
            <w:tcBorders>
              <w:left w:val="single" w:sz="4" w:space="0" w:color="auto"/>
            </w:tcBorders>
            <w:shd w:val="clear" w:color="auto" w:fill="auto"/>
            <w:noWrap/>
            <w:vAlign w:val="bottom"/>
            <w:hideMark/>
          </w:tcPr>
          <w:p w14:paraId="07104938"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0.09</w:t>
            </w:r>
          </w:p>
        </w:tc>
        <w:tc>
          <w:tcPr>
            <w:tcW w:w="1258" w:type="dxa"/>
            <w:shd w:val="clear" w:color="000000" w:fill="auto"/>
            <w:noWrap/>
            <w:vAlign w:val="bottom"/>
            <w:hideMark/>
          </w:tcPr>
          <w:p w14:paraId="16D5A88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0.70</w:t>
            </w:r>
          </w:p>
        </w:tc>
        <w:tc>
          <w:tcPr>
            <w:tcW w:w="840" w:type="dxa"/>
            <w:shd w:val="clear" w:color="000000" w:fill="auto"/>
            <w:noWrap/>
            <w:vAlign w:val="bottom"/>
            <w:hideMark/>
          </w:tcPr>
          <w:p w14:paraId="1DAE61CA"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0.15</w:t>
            </w:r>
          </w:p>
        </w:tc>
        <w:tc>
          <w:tcPr>
            <w:tcW w:w="1400" w:type="dxa"/>
            <w:shd w:val="clear" w:color="auto" w:fill="auto"/>
            <w:noWrap/>
            <w:vAlign w:val="bottom"/>
            <w:hideMark/>
          </w:tcPr>
          <w:p w14:paraId="45EA3EB3"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0.07</w:t>
            </w:r>
          </w:p>
        </w:tc>
      </w:tr>
      <w:tr w:rsidR="00885640" w:rsidRPr="001E3A0E" w14:paraId="2697D1DC" w14:textId="77777777" w:rsidTr="00885640">
        <w:trPr>
          <w:trHeight w:val="333"/>
        </w:trPr>
        <w:tc>
          <w:tcPr>
            <w:tcW w:w="3119" w:type="dxa"/>
            <w:tcBorders>
              <w:right w:val="single" w:sz="4" w:space="0" w:color="auto"/>
            </w:tcBorders>
            <w:shd w:val="clear" w:color="auto" w:fill="auto"/>
            <w:noWrap/>
            <w:vAlign w:val="bottom"/>
            <w:hideMark/>
          </w:tcPr>
          <w:p w14:paraId="741511B4"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Frail</w:t>
            </w:r>
          </w:p>
        </w:tc>
        <w:tc>
          <w:tcPr>
            <w:tcW w:w="1220" w:type="dxa"/>
            <w:tcBorders>
              <w:left w:val="single" w:sz="4" w:space="0" w:color="auto"/>
            </w:tcBorders>
            <w:shd w:val="clear" w:color="auto" w:fill="auto"/>
            <w:noWrap/>
            <w:vAlign w:val="bottom"/>
            <w:hideMark/>
          </w:tcPr>
          <w:p w14:paraId="675520D2"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0.00</w:t>
            </w:r>
          </w:p>
        </w:tc>
        <w:tc>
          <w:tcPr>
            <w:tcW w:w="1258" w:type="dxa"/>
            <w:shd w:val="clear" w:color="auto" w:fill="auto"/>
            <w:noWrap/>
            <w:vAlign w:val="bottom"/>
            <w:hideMark/>
          </w:tcPr>
          <w:p w14:paraId="47D91100"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0.07</w:t>
            </w:r>
          </w:p>
        </w:tc>
        <w:tc>
          <w:tcPr>
            <w:tcW w:w="840" w:type="dxa"/>
            <w:shd w:val="clear" w:color="auto" w:fill="auto"/>
            <w:noWrap/>
            <w:vAlign w:val="bottom"/>
            <w:hideMark/>
          </w:tcPr>
          <w:p w14:paraId="6D6DF860"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0.65</w:t>
            </w:r>
          </w:p>
        </w:tc>
        <w:tc>
          <w:tcPr>
            <w:tcW w:w="1400" w:type="dxa"/>
            <w:shd w:val="clear" w:color="auto" w:fill="auto"/>
            <w:noWrap/>
            <w:vAlign w:val="bottom"/>
            <w:hideMark/>
          </w:tcPr>
          <w:p w14:paraId="2EDE70BD" w14:textId="77777777" w:rsidR="00885640" w:rsidRPr="001E3A0E" w:rsidRDefault="00885640" w:rsidP="00885640">
            <w:pPr>
              <w:jc w:val="right"/>
              <w:rPr>
                <w:rFonts w:eastAsiaTheme="minorHAnsi"/>
                <w:sz w:val="24"/>
                <w:lang w:eastAsia="en-US"/>
              </w:rPr>
            </w:pPr>
            <w:r w:rsidRPr="001E3A0E">
              <w:rPr>
                <w:rFonts w:eastAsiaTheme="minorHAnsi"/>
                <w:sz w:val="24"/>
                <w:lang w:eastAsia="en-US"/>
              </w:rPr>
              <w:t>0.28</w:t>
            </w:r>
          </w:p>
        </w:tc>
      </w:tr>
    </w:tbl>
    <w:p w14:paraId="295ABE8A" w14:textId="77777777" w:rsidR="00885640" w:rsidRPr="001E3A0E" w:rsidRDefault="00885640" w:rsidP="00885640">
      <w:pPr>
        <w:spacing w:line="360" w:lineRule="auto"/>
        <w:rPr>
          <w:sz w:val="24"/>
        </w:rPr>
      </w:pPr>
    </w:p>
    <w:p w14:paraId="194C70E7" w14:textId="77777777" w:rsidR="00885640" w:rsidRPr="001E3A0E" w:rsidRDefault="00885640" w:rsidP="00885640">
      <w:pPr>
        <w:spacing w:line="360" w:lineRule="auto"/>
        <w:rPr>
          <w:sz w:val="24"/>
        </w:rPr>
      </w:pPr>
    </w:p>
    <w:p w14:paraId="24940D4F" w14:textId="77777777" w:rsidR="00885640" w:rsidRPr="001E3A0E" w:rsidRDefault="00885640" w:rsidP="00885640">
      <w:pPr>
        <w:spacing w:line="360" w:lineRule="auto"/>
        <w:rPr>
          <w:sz w:val="24"/>
        </w:rPr>
      </w:pPr>
      <w:r w:rsidRPr="001E3A0E">
        <w:rPr>
          <w:i/>
          <w:iCs/>
          <w:sz w:val="24"/>
        </w:rPr>
        <w:t>3.3. Narrative</w:t>
      </w:r>
      <w:r w:rsidRPr="001E3A0E">
        <w:rPr>
          <w:sz w:val="24"/>
        </w:rPr>
        <w:t xml:space="preserve"> </w:t>
      </w:r>
      <w:r w:rsidRPr="001E3A0E">
        <w:rPr>
          <w:i/>
          <w:iCs/>
          <w:sz w:val="24"/>
        </w:rPr>
        <w:t>synthesis</w:t>
      </w:r>
      <w:r w:rsidRPr="001E3A0E">
        <w:rPr>
          <w:sz w:val="24"/>
        </w:rPr>
        <w:t xml:space="preserve"> </w:t>
      </w:r>
    </w:p>
    <w:p w14:paraId="5ECF5CCD" w14:textId="77777777" w:rsidR="00885640" w:rsidRPr="001E3A0E" w:rsidRDefault="00885640" w:rsidP="00885640">
      <w:pPr>
        <w:spacing w:line="360" w:lineRule="auto"/>
        <w:ind w:firstLine="720"/>
        <w:jc w:val="both"/>
        <w:rPr>
          <w:sz w:val="24"/>
        </w:rPr>
      </w:pPr>
      <w:r w:rsidRPr="001E3A0E">
        <w:rPr>
          <w:sz w:val="24"/>
        </w:rPr>
        <w:t xml:space="preserve">Fifty-eight studies did not report sufficient data for analysis but provided additional information to describe the complex nature of these changes. Many of them reported that frailty tends to increase over time (ID: 5,8,9,12-14,27,36,38,39,49,52,54), and greater frailty at baseline increased the likelihood of increasing frailty at follow ups (ID:12,17,21,22,44). One study which measured frailty transition times using the electronic FI </w:t>
      </w:r>
      <w:r w:rsidRPr="001E3A0E">
        <w:rPr>
          <w:noProof/>
          <w:sz w:val="24"/>
        </w:rPr>
        <w:t>(Clegg et al., 2016)</w:t>
      </w:r>
      <w:r w:rsidRPr="001E3A0E">
        <w:rPr>
          <w:sz w:val="24"/>
        </w:rPr>
        <w:t xml:space="preserve"> reported that the frailty transition times shorten as a frailty state deteriorates (ID:52). Other studies reported that improvement in frailty is also possible (ID:9,12,13,36,57,46).</w:t>
      </w:r>
    </w:p>
    <w:p w14:paraId="5427FACA" w14:textId="77777777" w:rsidR="00885640" w:rsidRPr="001E3A0E" w:rsidRDefault="00885640" w:rsidP="00885640">
      <w:pPr>
        <w:spacing w:line="360" w:lineRule="auto"/>
        <w:rPr>
          <w:sz w:val="24"/>
        </w:rPr>
      </w:pPr>
    </w:p>
    <w:p w14:paraId="1CCCFAD1" w14:textId="77777777" w:rsidR="00885640" w:rsidRPr="001E3A0E" w:rsidRDefault="00885640" w:rsidP="00885640">
      <w:pPr>
        <w:spacing w:line="360" w:lineRule="auto"/>
        <w:rPr>
          <w:b/>
          <w:bCs/>
          <w:sz w:val="24"/>
        </w:rPr>
      </w:pPr>
      <w:r w:rsidRPr="001E3A0E">
        <w:rPr>
          <w:b/>
          <w:bCs/>
          <w:sz w:val="24"/>
        </w:rPr>
        <w:t xml:space="preserve">Association between FI, </w:t>
      </w:r>
      <w:proofErr w:type="gramStart"/>
      <w:r w:rsidRPr="001E3A0E">
        <w:rPr>
          <w:b/>
          <w:bCs/>
          <w:sz w:val="24"/>
        </w:rPr>
        <w:t>age</w:t>
      </w:r>
      <w:proofErr w:type="gramEnd"/>
      <w:r w:rsidRPr="001E3A0E">
        <w:rPr>
          <w:b/>
          <w:bCs/>
          <w:sz w:val="24"/>
        </w:rPr>
        <w:t xml:space="preserve"> and gender </w:t>
      </w:r>
    </w:p>
    <w:p w14:paraId="7EBED8D2" w14:textId="238D0A30" w:rsidR="00885640" w:rsidRPr="001E3A0E" w:rsidRDefault="00885640" w:rsidP="00885640">
      <w:pPr>
        <w:spacing w:line="360" w:lineRule="auto"/>
        <w:ind w:firstLine="720"/>
        <w:jc w:val="both"/>
        <w:rPr>
          <w:sz w:val="24"/>
        </w:rPr>
      </w:pPr>
      <w:r w:rsidRPr="001E3A0E">
        <w:rPr>
          <w:sz w:val="24"/>
        </w:rPr>
        <w:t xml:space="preserve">Whilst the included studies consistently reported that </w:t>
      </w:r>
      <w:r w:rsidR="001E3A0E">
        <w:rPr>
          <w:sz w:val="24"/>
        </w:rPr>
        <w:t>f</w:t>
      </w:r>
      <w:r w:rsidRPr="001E3A0E">
        <w:rPr>
          <w:sz w:val="24"/>
        </w:rPr>
        <w:t xml:space="preserve">railty increases with age (ID:1,2,5-9,15-17,19-21,23,28-33,35-41,44-47,49,50,52,53,60), results with respect to gender are inconsistent. Seventeen studies reported that females are more likely to develop frailty (ID:2,15,16,20,21,23,27,30,31,33,35,36,41,47,49,50,60), whereas one study found frailty worsening in men (ID:1) and another reported </w:t>
      </w:r>
      <w:r w:rsidR="001E3A0E">
        <w:rPr>
          <w:sz w:val="24"/>
        </w:rPr>
        <w:t>a higher</w:t>
      </w:r>
      <w:r w:rsidRPr="001E3A0E">
        <w:rPr>
          <w:sz w:val="24"/>
        </w:rPr>
        <w:t xml:space="preserve"> FI score in males than in females (ID:6). Two studies found that frailty, as measured by a FI, is associated with greater risk of death in older women (ID:6,61), whilst other studies reported the opposite – older women tolerated deficits better than men as older men tend to have higher death rates (ID:15,31,32,49,60).</w:t>
      </w:r>
    </w:p>
    <w:p w14:paraId="7A90F9A1" w14:textId="77777777" w:rsidR="00885640" w:rsidRPr="001E3A0E" w:rsidRDefault="00885640" w:rsidP="00885640">
      <w:pPr>
        <w:spacing w:line="360" w:lineRule="auto"/>
        <w:rPr>
          <w:sz w:val="24"/>
        </w:rPr>
      </w:pPr>
    </w:p>
    <w:p w14:paraId="26C593BF" w14:textId="77777777" w:rsidR="00885640" w:rsidRPr="001E3A0E" w:rsidRDefault="00885640" w:rsidP="00885640">
      <w:pPr>
        <w:spacing w:line="360" w:lineRule="auto"/>
        <w:rPr>
          <w:b/>
          <w:bCs/>
          <w:sz w:val="24"/>
        </w:rPr>
      </w:pPr>
      <w:r w:rsidRPr="001E3A0E">
        <w:rPr>
          <w:b/>
          <w:bCs/>
          <w:sz w:val="24"/>
        </w:rPr>
        <w:t xml:space="preserve">Association between FI and psychosocial and behavioural factors </w:t>
      </w:r>
    </w:p>
    <w:p w14:paraId="04C1BC6A" w14:textId="77777777" w:rsidR="00885640" w:rsidRPr="001E3A0E" w:rsidRDefault="00885640" w:rsidP="00885640">
      <w:pPr>
        <w:spacing w:line="360" w:lineRule="auto"/>
        <w:ind w:firstLine="720"/>
        <w:jc w:val="both"/>
        <w:rPr>
          <w:sz w:val="24"/>
        </w:rPr>
      </w:pPr>
      <w:r w:rsidRPr="001E3A0E">
        <w:rPr>
          <w:sz w:val="24"/>
        </w:rPr>
        <w:t>Several risk factors associated with progression to higher frailty states are reported in the included studies. These factors include urbanicity (ID:30,31,33,35), smoking (ID:8,19,21,23,48) and/or alcohol consumption (ID:8), obesity (ID:1,23,28), low intensity of physical activity (ID:2,21,23,29,33)</w:t>
      </w:r>
      <w:r w:rsidRPr="001E3A0E">
        <w:rPr>
          <w:noProof/>
          <w:sz w:val="24"/>
        </w:rPr>
        <w:t>,</w:t>
      </w:r>
      <w:r w:rsidRPr="001E3A0E">
        <w:rPr>
          <w:sz w:val="24"/>
        </w:rPr>
        <w:t xml:space="preserve"> low income status (ID:16,21,36,43,47), low level of education (ID:2,6,8,16,23,33,36,43), not married (ID:2,8,33,36), lonely (ID:22,23,39) or living alone (ID:1,2,33), and not having shower facilities at home (ID:2)</w:t>
      </w:r>
      <w:r w:rsidRPr="001E3A0E">
        <w:rPr>
          <w:noProof/>
          <w:sz w:val="24"/>
        </w:rPr>
        <w:t xml:space="preserve">. </w:t>
      </w:r>
      <w:r w:rsidRPr="001E3A0E">
        <w:rPr>
          <w:sz w:val="24"/>
        </w:rPr>
        <w:t xml:space="preserve">The rate of increase in frailty was lower with more frequent engagement in cultural activities (ID:24) and religious activities (ID:31). Social and behavioural factors were not associated with the rate of frailty change in people aged 80 and older (ID:8). </w:t>
      </w:r>
    </w:p>
    <w:p w14:paraId="1765E090" w14:textId="77777777" w:rsidR="00885640" w:rsidRPr="001E3A0E" w:rsidRDefault="00885640" w:rsidP="00885640">
      <w:pPr>
        <w:spacing w:line="360" w:lineRule="auto"/>
        <w:ind w:firstLine="720"/>
        <w:jc w:val="both"/>
        <w:rPr>
          <w:sz w:val="24"/>
        </w:rPr>
      </w:pPr>
      <w:r w:rsidRPr="001E3A0E">
        <w:rPr>
          <w:sz w:val="24"/>
        </w:rPr>
        <w:t>The rate of increase in frailty was lower with more frequent engagement in cultural activities (ID:24). Social and behavioural factors were not associated with the rate of frailty change in people aged 80 and older (ID:8)</w:t>
      </w:r>
      <w:r w:rsidRPr="001E3A0E">
        <w:rPr>
          <w:rStyle w:val="CommentReference"/>
          <w:sz w:val="24"/>
          <w:szCs w:val="24"/>
        </w:rPr>
        <w:t>.</w:t>
      </w:r>
      <w:r w:rsidRPr="001E3A0E">
        <w:rPr>
          <w:sz w:val="24"/>
        </w:rPr>
        <w:t xml:space="preserve"> </w:t>
      </w:r>
    </w:p>
    <w:p w14:paraId="3A64B4AD" w14:textId="3639A818" w:rsidR="00885640" w:rsidRPr="001E3A0E" w:rsidRDefault="00885640" w:rsidP="00885640">
      <w:pPr>
        <w:spacing w:line="360" w:lineRule="auto"/>
        <w:ind w:firstLine="720"/>
        <w:jc w:val="both"/>
        <w:rPr>
          <w:sz w:val="24"/>
        </w:rPr>
      </w:pPr>
      <w:r w:rsidRPr="001E3A0E">
        <w:rPr>
          <w:sz w:val="24"/>
        </w:rPr>
        <w:t>Conversely, two studies reported that smoking</w:t>
      </w:r>
      <w:r w:rsidR="001E3A0E">
        <w:rPr>
          <w:sz w:val="24"/>
        </w:rPr>
        <w:t xml:space="preserve"> and</w:t>
      </w:r>
      <w:r w:rsidRPr="001E3A0E">
        <w:rPr>
          <w:sz w:val="24"/>
        </w:rPr>
        <w:t xml:space="preserve"> alcohol consumption are associated with lower FI (ID:33,47), </w:t>
      </w:r>
      <w:r w:rsidR="00746B53">
        <w:rPr>
          <w:sz w:val="24"/>
        </w:rPr>
        <w:t xml:space="preserve">lonely women are less likely to worsen in </w:t>
      </w:r>
      <w:r w:rsidR="00730ECC">
        <w:rPr>
          <w:sz w:val="24"/>
        </w:rPr>
        <w:t xml:space="preserve">frailty </w:t>
      </w:r>
      <w:r w:rsidRPr="001E3A0E">
        <w:rPr>
          <w:sz w:val="24"/>
        </w:rPr>
        <w:t>(ID:1), and two studies reported that social isolation and loneliness do not predict change in frailty (ID:22,23).</w:t>
      </w:r>
    </w:p>
    <w:p w14:paraId="44742BD0" w14:textId="77777777" w:rsidR="00885640" w:rsidRPr="001E3A0E" w:rsidRDefault="00885640" w:rsidP="00885640">
      <w:pPr>
        <w:spacing w:line="360" w:lineRule="auto"/>
        <w:rPr>
          <w:i/>
          <w:iCs/>
          <w:sz w:val="24"/>
        </w:rPr>
      </w:pPr>
    </w:p>
    <w:p w14:paraId="37C191AC" w14:textId="77777777" w:rsidR="00885640" w:rsidRPr="001E3A0E" w:rsidRDefault="00885640" w:rsidP="00885640">
      <w:pPr>
        <w:spacing w:line="360" w:lineRule="auto"/>
        <w:rPr>
          <w:b/>
          <w:bCs/>
          <w:sz w:val="24"/>
        </w:rPr>
      </w:pPr>
      <w:r w:rsidRPr="001E3A0E">
        <w:rPr>
          <w:b/>
          <w:bCs/>
          <w:sz w:val="24"/>
        </w:rPr>
        <w:t xml:space="preserve"> Association between FI and chronic diseases</w:t>
      </w:r>
    </w:p>
    <w:p w14:paraId="17FE356D" w14:textId="77777777" w:rsidR="00885640" w:rsidRPr="001E3A0E" w:rsidRDefault="00885640" w:rsidP="00885640">
      <w:pPr>
        <w:spacing w:line="360" w:lineRule="auto"/>
        <w:ind w:firstLine="720"/>
        <w:jc w:val="both"/>
        <w:rPr>
          <w:sz w:val="24"/>
        </w:rPr>
      </w:pPr>
      <w:r w:rsidRPr="001E3A0E">
        <w:rPr>
          <w:sz w:val="24"/>
        </w:rPr>
        <w:t xml:space="preserve">The likelihood of developing frailty increases with the number of chronic conditions (ID:1,30,45,61), multimorbidity (ID:1,33) and/or comorbidity (ID:20), late-life depression </w:t>
      </w:r>
      <w:r w:rsidRPr="001E3A0E">
        <w:rPr>
          <w:noProof/>
          <w:sz w:val="24"/>
        </w:rPr>
        <w:t>(ID:59)</w:t>
      </w:r>
      <w:r w:rsidRPr="001E3A0E">
        <w:rPr>
          <w:sz w:val="24"/>
        </w:rPr>
        <w:t xml:space="preserve"> and/or taking medication (ID:1,30,33,41). </w:t>
      </w:r>
    </w:p>
    <w:p w14:paraId="0E544415" w14:textId="77777777" w:rsidR="00885640" w:rsidRPr="001E3A0E" w:rsidRDefault="00885640" w:rsidP="00885640">
      <w:pPr>
        <w:spacing w:line="360" w:lineRule="auto"/>
        <w:ind w:firstLine="720"/>
        <w:jc w:val="both"/>
        <w:rPr>
          <w:sz w:val="24"/>
        </w:rPr>
      </w:pPr>
      <w:r w:rsidRPr="001E3A0E">
        <w:rPr>
          <w:sz w:val="24"/>
        </w:rPr>
        <w:t xml:space="preserve">People with better baseline mobility are more likely to experience improvement in frailty or remain stable, while those with poor baseline mobility are more likely to die (ID:9). One study showed that multidomain interventions that included cognitive training, nutrition counselling and advice on physical activity seem to decrease risk of progression in frailty (ID:46), and another reported that a physical activity intervention is effective among frailest older people (ID:11). Moreover, moderate physical activity reduces progression in frailty among people aged 65 and above, and vigorous physical activity reduces progression in frailty among older people (ID:25). </w:t>
      </w:r>
    </w:p>
    <w:p w14:paraId="51C496EB" w14:textId="77777777" w:rsidR="00885640" w:rsidRPr="001E3A0E" w:rsidRDefault="00885640" w:rsidP="00885640">
      <w:pPr>
        <w:spacing w:line="360" w:lineRule="auto"/>
        <w:rPr>
          <w:sz w:val="24"/>
        </w:rPr>
      </w:pPr>
    </w:p>
    <w:p w14:paraId="7DDEA589" w14:textId="77777777" w:rsidR="00885640" w:rsidRPr="001E3A0E" w:rsidRDefault="00885640" w:rsidP="00885640">
      <w:pPr>
        <w:spacing w:line="360" w:lineRule="auto"/>
        <w:rPr>
          <w:b/>
          <w:bCs/>
          <w:sz w:val="24"/>
        </w:rPr>
      </w:pPr>
      <w:r w:rsidRPr="001E3A0E">
        <w:rPr>
          <w:b/>
          <w:bCs/>
          <w:sz w:val="24"/>
        </w:rPr>
        <w:t>FI as a predictor of adverse health outcomes, mortality, and hospital outcomes</w:t>
      </w:r>
    </w:p>
    <w:p w14:paraId="618175C0" w14:textId="77777777" w:rsidR="00885640" w:rsidRPr="001E3A0E" w:rsidRDefault="00885640" w:rsidP="00885640">
      <w:pPr>
        <w:spacing w:line="360" w:lineRule="auto"/>
        <w:ind w:firstLine="360"/>
        <w:jc w:val="both"/>
        <w:rPr>
          <w:sz w:val="24"/>
        </w:rPr>
      </w:pPr>
      <w:r w:rsidRPr="001E3A0E">
        <w:rPr>
          <w:sz w:val="24"/>
        </w:rPr>
        <w:t xml:space="preserve">The included studies report that a FI is a significant predictor of cognitive decline (ID:4,17,51) or dementia (ID:26), adverse outcomes such as decline in activities of daily living disability or functional decline (ID:10,30,50), falls (ID:10,30,35,61), and death (ID:14,26,30,42,49). Studies that explored association between FI and mortality risk reported that: </w:t>
      </w:r>
    </w:p>
    <w:p w14:paraId="3E8F1FB1" w14:textId="77777777" w:rsidR="00885640" w:rsidRPr="001E3A0E" w:rsidRDefault="00885640" w:rsidP="00885640">
      <w:pPr>
        <w:pStyle w:val="ListParagraph"/>
        <w:numPr>
          <w:ilvl w:val="0"/>
          <w:numId w:val="20"/>
        </w:numPr>
        <w:spacing w:line="360" w:lineRule="auto"/>
        <w:rPr>
          <w:sz w:val="24"/>
        </w:rPr>
      </w:pPr>
      <w:r w:rsidRPr="001E3A0E">
        <w:rPr>
          <w:sz w:val="24"/>
        </w:rPr>
        <w:t>the frailest people are more likely to die (ID:5,6,12,14,15,20,27,44,54,56,58,60</w:t>
      </w:r>
      <w:proofErr w:type="gramStart"/>
      <w:r w:rsidRPr="001E3A0E">
        <w:rPr>
          <w:sz w:val="24"/>
        </w:rPr>
        <w:t>);</w:t>
      </w:r>
      <w:proofErr w:type="gramEnd"/>
    </w:p>
    <w:p w14:paraId="13BF9415" w14:textId="77777777" w:rsidR="00885640" w:rsidRPr="001E3A0E" w:rsidRDefault="00885640" w:rsidP="00885640">
      <w:pPr>
        <w:pStyle w:val="ListParagraph"/>
        <w:numPr>
          <w:ilvl w:val="0"/>
          <w:numId w:val="20"/>
        </w:numPr>
        <w:spacing w:line="360" w:lineRule="auto"/>
        <w:rPr>
          <w:sz w:val="24"/>
        </w:rPr>
      </w:pPr>
      <w:r w:rsidRPr="001E3A0E">
        <w:rPr>
          <w:sz w:val="24"/>
        </w:rPr>
        <w:t>an increase in the number of frailty deficits of the FI increases the risk of death (ID:5-7,12,14,18,32,35,38,40,44,49,55,60), and institutionalisation (ID:40,44,53</w:t>
      </w:r>
      <w:proofErr w:type="gramStart"/>
      <w:r w:rsidRPr="001E3A0E">
        <w:rPr>
          <w:sz w:val="24"/>
        </w:rPr>
        <w:t>);</w:t>
      </w:r>
      <w:proofErr w:type="gramEnd"/>
      <w:r w:rsidRPr="001E3A0E">
        <w:rPr>
          <w:sz w:val="24"/>
        </w:rPr>
        <w:t xml:space="preserve"> </w:t>
      </w:r>
    </w:p>
    <w:p w14:paraId="37A0A7BF" w14:textId="77777777" w:rsidR="00885640" w:rsidRPr="001E3A0E" w:rsidRDefault="00885640" w:rsidP="00885640">
      <w:pPr>
        <w:pStyle w:val="ListParagraph"/>
        <w:numPr>
          <w:ilvl w:val="0"/>
          <w:numId w:val="20"/>
        </w:numPr>
        <w:spacing w:line="360" w:lineRule="auto"/>
        <w:rPr>
          <w:sz w:val="24"/>
        </w:rPr>
      </w:pPr>
      <w:r w:rsidRPr="001E3A0E">
        <w:rPr>
          <w:sz w:val="24"/>
        </w:rPr>
        <w:t>age is a significant predictor of death among the most people (ID:5,12,15,31,40); and FI score is a predictor of time to death (ID:5</w:t>
      </w:r>
      <w:proofErr w:type="gramStart"/>
      <w:r w:rsidRPr="001E3A0E">
        <w:rPr>
          <w:sz w:val="24"/>
        </w:rPr>
        <w:t>);</w:t>
      </w:r>
      <w:proofErr w:type="gramEnd"/>
      <w:r w:rsidRPr="001E3A0E">
        <w:rPr>
          <w:sz w:val="24"/>
        </w:rPr>
        <w:t xml:space="preserve"> </w:t>
      </w:r>
    </w:p>
    <w:p w14:paraId="2950141E" w14:textId="77777777" w:rsidR="00885640" w:rsidRPr="001E3A0E" w:rsidRDefault="00885640" w:rsidP="00885640">
      <w:pPr>
        <w:pStyle w:val="ListParagraph"/>
        <w:numPr>
          <w:ilvl w:val="0"/>
          <w:numId w:val="20"/>
        </w:numPr>
        <w:spacing w:line="360" w:lineRule="auto"/>
        <w:rPr>
          <w:sz w:val="24"/>
        </w:rPr>
      </w:pPr>
      <w:r w:rsidRPr="001E3A0E">
        <w:rPr>
          <w:sz w:val="24"/>
        </w:rPr>
        <w:t>worsening in frailty or remaining in the same frailty state increases the risk of a painful death (ID:3</w:t>
      </w:r>
      <w:proofErr w:type="gramStart"/>
      <w:r w:rsidRPr="001E3A0E">
        <w:rPr>
          <w:sz w:val="24"/>
        </w:rPr>
        <w:t>);</w:t>
      </w:r>
      <w:proofErr w:type="gramEnd"/>
      <w:r w:rsidRPr="001E3A0E">
        <w:rPr>
          <w:sz w:val="24"/>
        </w:rPr>
        <w:t xml:space="preserve"> </w:t>
      </w:r>
    </w:p>
    <w:p w14:paraId="0020928D" w14:textId="77777777" w:rsidR="00885640" w:rsidRPr="001E3A0E" w:rsidRDefault="00885640" w:rsidP="00885640">
      <w:pPr>
        <w:pStyle w:val="ListParagraph"/>
        <w:numPr>
          <w:ilvl w:val="0"/>
          <w:numId w:val="20"/>
        </w:numPr>
        <w:spacing w:line="360" w:lineRule="auto"/>
        <w:rPr>
          <w:sz w:val="24"/>
        </w:rPr>
      </w:pPr>
      <w:r w:rsidRPr="001E3A0E">
        <w:rPr>
          <w:sz w:val="24"/>
        </w:rPr>
        <w:t>oldest-old people aged 90 and over with frailty and cognitive impairment have higher risk of death (ID:34).</w:t>
      </w:r>
    </w:p>
    <w:p w14:paraId="7CA2E1EB" w14:textId="77777777" w:rsidR="00885640" w:rsidRPr="001E3A0E" w:rsidRDefault="00885640" w:rsidP="00885640">
      <w:pPr>
        <w:spacing w:line="360" w:lineRule="auto"/>
        <w:ind w:firstLine="709"/>
        <w:jc w:val="both"/>
        <w:rPr>
          <w:sz w:val="24"/>
        </w:rPr>
      </w:pPr>
      <w:r w:rsidRPr="001E3A0E">
        <w:rPr>
          <w:sz w:val="24"/>
        </w:rPr>
        <w:t xml:space="preserve">The included studies report that a FI is also a significant predictor of hospitalisation (ID:10,30,50,52,53). Frailer people have higher chances to be hospitalised or readmitted to a hospital (ID:20), die in the year following unplanned hospitalisation (ID:20,52,58) or stay longer in hospital (ID:20,52). Healthcare costs after a hospital admission tend to be higher among frailer people (ID:20). </w:t>
      </w:r>
    </w:p>
    <w:p w14:paraId="0FC1E525" w14:textId="77777777" w:rsidR="00885640" w:rsidRPr="001E3A0E" w:rsidRDefault="00885640" w:rsidP="00885640">
      <w:pPr>
        <w:spacing w:line="360" w:lineRule="auto"/>
        <w:rPr>
          <w:sz w:val="24"/>
        </w:rPr>
      </w:pPr>
    </w:p>
    <w:p w14:paraId="1C80662E" w14:textId="77777777" w:rsidR="00885640" w:rsidRPr="001E3A0E" w:rsidRDefault="00885640" w:rsidP="00885640">
      <w:pPr>
        <w:spacing w:line="360" w:lineRule="auto"/>
        <w:rPr>
          <w:b/>
          <w:bCs/>
          <w:sz w:val="24"/>
        </w:rPr>
      </w:pPr>
      <w:r w:rsidRPr="001E3A0E">
        <w:rPr>
          <w:b/>
          <w:bCs/>
          <w:sz w:val="24"/>
        </w:rPr>
        <w:t xml:space="preserve">Predictive ability of FI compared with other tools </w:t>
      </w:r>
    </w:p>
    <w:p w14:paraId="04DCACDC" w14:textId="77777777" w:rsidR="00885640" w:rsidRPr="001E3A0E" w:rsidRDefault="00885640" w:rsidP="00885640">
      <w:pPr>
        <w:spacing w:line="360" w:lineRule="auto"/>
        <w:ind w:firstLine="720"/>
        <w:jc w:val="both"/>
        <w:rPr>
          <w:sz w:val="24"/>
        </w:rPr>
      </w:pPr>
      <w:r w:rsidRPr="001E3A0E">
        <w:rPr>
          <w:sz w:val="24"/>
        </w:rPr>
        <w:t xml:space="preserve">Compared to the Schonberg </w:t>
      </w:r>
      <w:r w:rsidRPr="001E3A0E">
        <w:rPr>
          <w:noProof/>
          <w:sz w:val="24"/>
        </w:rPr>
        <w:t>(Schonberg et al., 2009)</w:t>
      </w:r>
      <w:r w:rsidRPr="001E3A0E">
        <w:rPr>
          <w:sz w:val="24"/>
        </w:rPr>
        <w:t xml:space="preserve"> and Lee </w:t>
      </w:r>
      <w:r w:rsidRPr="001E3A0E">
        <w:rPr>
          <w:noProof/>
          <w:sz w:val="24"/>
        </w:rPr>
        <w:t>(Lee et al., 2006)</w:t>
      </w:r>
      <w:r w:rsidRPr="001E3A0E">
        <w:rPr>
          <w:sz w:val="24"/>
        </w:rPr>
        <w:t xml:space="preserve"> indices, FI better predicts decline in activities of daily living and falls, but its predictive ability of mortality is comparable to these two prognostic indices (ID:10). When FI is compared to the phenotype measure of frailty, FI predicts adverse outcomes as accurately as phenotype frailty (ID:14), but better predicts mortality, functional decline and hospitalisation when using a weighting factor approach (ID:50). At the same time these two methods (FP and FI) do not share the same risk factors - loneliness is a risk factor for progression in frailty when it is measured with FP, but not a predictor for change in FI (ID:22).</w:t>
      </w:r>
    </w:p>
    <w:p w14:paraId="20E0259A" w14:textId="77777777" w:rsidR="00885640" w:rsidRPr="001E3A0E" w:rsidRDefault="00885640" w:rsidP="00885640">
      <w:pPr>
        <w:spacing w:line="360" w:lineRule="auto"/>
        <w:rPr>
          <w:sz w:val="24"/>
        </w:rPr>
      </w:pPr>
    </w:p>
    <w:p w14:paraId="520F48D4" w14:textId="77777777" w:rsidR="00885640" w:rsidRPr="001E3A0E" w:rsidRDefault="00885640" w:rsidP="00C84C44">
      <w:pPr>
        <w:pStyle w:val="Heading1"/>
        <w:numPr>
          <w:ilvl w:val="0"/>
          <w:numId w:val="0"/>
        </w:numPr>
        <w:spacing w:line="360" w:lineRule="auto"/>
        <w:ind w:left="357"/>
        <w:rPr>
          <w:rFonts w:cs="Times New Roman"/>
          <w:b w:val="0"/>
          <w:sz w:val="24"/>
          <w:szCs w:val="24"/>
        </w:rPr>
      </w:pPr>
      <w:r w:rsidRPr="001E3A0E">
        <w:rPr>
          <w:rFonts w:cs="Times New Roman"/>
          <w:sz w:val="24"/>
          <w:szCs w:val="24"/>
        </w:rPr>
        <w:t>4. Discussion</w:t>
      </w:r>
    </w:p>
    <w:p w14:paraId="2F69DC96" w14:textId="77777777" w:rsidR="00885640" w:rsidRPr="001E3A0E" w:rsidRDefault="00885640" w:rsidP="00885640">
      <w:pPr>
        <w:spacing w:line="360" w:lineRule="auto"/>
        <w:rPr>
          <w:sz w:val="24"/>
        </w:rPr>
      </w:pPr>
    </w:p>
    <w:p w14:paraId="0B402BBB" w14:textId="730D7E8B" w:rsidR="00885640" w:rsidRPr="001E3A0E" w:rsidRDefault="00885640" w:rsidP="00885640">
      <w:pPr>
        <w:spacing w:line="360" w:lineRule="auto"/>
        <w:ind w:firstLine="720"/>
        <w:jc w:val="both"/>
        <w:rPr>
          <w:sz w:val="24"/>
        </w:rPr>
      </w:pPr>
      <w:r w:rsidRPr="001E3A0E">
        <w:rPr>
          <w:sz w:val="24"/>
        </w:rPr>
        <w:t>The results of this systematic review showed that combining evidence from existing literature on frailty operationalised using a research standard frailty model is challenging</w:t>
      </w:r>
      <w:r w:rsidR="001E3A0E">
        <w:rPr>
          <w:sz w:val="24"/>
        </w:rPr>
        <w:t xml:space="preserve"> </w:t>
      </w:r>
      <w:r w:rsidRPr="001E3A0E">
        <w:rPr>
          <w:sz w:val="24"/>
        </w:rPr>
        <w:t xml:space="preserve">due to dependence of frailty progression on age and inconsistency in how the frailty index is defined and measured across studies. We addressed the latter challenge of synthesising the evidence from those studies that have the same cut points between frailty states. </w:t>
      </w:r>
      <w:bookmarkStart w:id="4" w:name="_Hlk100829336"/>
      <w:r w:rsidRPr="001E3A0E">
        <w:rPr>
          <w:sz w:val="24"/>
        </w:rPr>
        <w:t>We converted transitions probabilities to annual transition rates to standardise follow-up period and facilitate comparison.</w:t>
      </w:r>
    </w:p>
    <w:bookmarkEnd w:id="4"/>
    <w:p w14:paraId="37DA521E" w14:textId="77777777" w:rsidR="00885640" w:rsidRPr="001E3A0E" w:rsidRDefault="00885640" w:rsidP="00885640">
      <w:pPr>
        <w:spacing w:line="360" w:lineRule="auto"/>
        <w:ind w:firstLine="720"/>
        <w:jc w:val="both"/>
        <w:rPr>
          <w:sz w:val="24"/>
        </w:rPr>
      </w:pPr>
      <w:r w:rsidRPr="001E3A0E">
        <w:rPr>
          <w:sz w:val="24"/>
        </w:rPr>
        <w:t xml:space="preserve">In line with a recently published systematic review that used a phenotypic defined frailty </w:t>
      </w:r>
      <w:r w:rsidRPr="001E3A0E">
        <w:rPr>
          <w:noProof/>
          <w:sz w:val="24"/>
        </w:rPr>
        <w:t>[9]</w:t>
      </w:r>
      <w:r w:rsidRPr="001E3A0E">
        <w:rPr>
          <w:sz w:val="24"/>
        </w:rPr>
        <w:t xml:space="preserve">, this review showed that worsening in frailty was a common frailty transition. Improvement and stability in frailty status were also possible. </w:t>
      </w:r>
    </w:p>
    <w:p w14:paraId="4D8D10AE" w14:textId="1DB759C3" w:rsidR="00885640" w:rsidRPr="001E3A0E" w:rsidRDefault="00885640" w:rsidP="00885640">
      <w:pPr>
        <w:spacing w:line="360" w:lineRule="auto"/>
        <w:ind w:firstLine="720"/>
        <w:jc w:val="both"/>
        <w:rPr>
          <w:sz w:val="24"/>
        </w:rPr>
      </w:pPr>
      <w:r w:rsidRPr="001E3A0E">
        <w:rPr>
          <w:sz w:val="24"/>
        </w:rPr>
        <w:t xml:space="preserve">Consistent with the previous literature, where frailty was measured using the frailty phenotype </w:t>
      </w:r>
      <w:r w:rsidRPr="001E3A0E">
        <w:rPr>
          <w:noProof/>
          <w:sz w:val="24"/>
        </w:rPr>
        <w:t>(Kojima et al., 2019, Thompson et al., 2018, Espinoza et al., 2012, Gill et al., 2006, Lee et al., 2014)</w:t>
      </w:r>
      <w:r w:rsidRPr="001E3A0E">
        <w:rPr>
          <w:sz w:val="24"/>
        </w:rPr>
        <w:t xml:space="preserve"> this review found that frailty tends to increase with time, people who are frail at baseline have greater likelihood to progress in frailty and die, and that age is the main factor that accelerates progression in frailty. Other risk factors for progression in frailty </w:t>
      </w:r>
      <w:proofErr w:type="gramStart"/>
      <w:r w:rsidRPr="001E3A0E">
        <w:rPr>
          <w:sz w:val="24"/>
        </w:rPr>
        <w:t>were:</w:t>
      </w:r>
      <w:proofErr w:type="gramEnd"/>
      <w:r w:rsidRPr="001E3A0E">
        <w:rPr>
          <w:sz w:val="24"/>
        </w:rPr>
        <w:t xml:space="preserve"> having chronic disease, smoking, obesity, low-income and</w:t>
      </w:r>
      <w:r w:rsidR="001E3A0E">
        <w:rPr>
          <w:sz w:val="24"/>
        </w:rPr>
        <w:t>/or</w:t>
      </w:r>
      <w:r w:rsidRPr="001E3A0E">
        <w:rPr>
          <w:sz w:val="24"/>
        </w:rPr>
        <w:t xml:space="preserve"> low-education level. </w:t>
      </w:r>
    </w:p>
    <w:p w14:paraId="37C5BD80" w14:textId="77777777" w:rsidR="00885640" w:rsidRPr="001E3A0E" w:rsidRDefault="00885640" w:rsidP="00885640">
      <w:pPr>
        <w:spacing w:line="360" w:lineRule="auto"/>
        <w:ind w:firstLine="720"/>
        <w:jc w:val="both"/>
        <w:rPr>
          <w:sz w:val="24"/>
        </w:rPr>
      </w:pPr>
      <w:r w:rsidRPr="001E3A0E">
        <w:rPr>
          <w:sz w:val="24"/>
        </w:rPr>
        <w:t xml:space="preserve">The controversial results with respect to association between transition in frailty, survival rates, social status and gender might be due to cohort limitation in the included studies and the male-female health-survival paradox, when compared to men women tend to have a greater chance of survival despite having more health-related issues </w:t>
      </w:r>
      <w:r w:rsidRPr="001E3A0E">
        <w:rPr>
          <w:noProof/>
          <w:sz w:val="24"/>
        </w:rPr>
        <w:t>(Alberts et al., 2014)</w:t>
      </w:r>
      <w:r w:rsidRPr="001E3A0E">
        <w:rPr>
          <w:sz w:val="24"/>
        </w:rPr>
        <w:t xml:space="preserve">. </w:t>
      </w:r>
    </w:p>
    <w:p w14:paraId="3803AC9F" w14:textId="61E995B9" w:rsidR="00885640" w:rsidRPr="001E3A0E" w:rsidRDefault="00885640" w:rsidP="00885640">
      <w:pPr>
        <w:spacing w:line="360" w:lineRule="auto"/>
        <w:ind w:firstLine="720"/>
        <w:jc w:val="both"/>
        <w:rPr>
          <w:sz w:val="24"/>
        </w:rPr>
      </w:pPr>
      <w:r w:rsidRPr="001E3A0E">
        <w:rPr>
          <w:sz w:val="24"/>
        </w:rPr>
        <w:t>This review shows that the FI approach has several advantages and disadvantages stemming from differences in the way the cumulative frailty model has been operationalised in different data sets. First, the FI approach does not require a specific set of health deficits to construct a frailty index. Second, the approach enables usage of routinely collected data extracted from large healthcare databases across the world instead of conducting interviews. Using these large datasets allows for a comprehensive within cohort analysis. Third, a frailty index has better predictive power of adverse health outcomes, hospitalisation, and mortality, and finally</w:t>
      </w:r>
      <w:r w:rsidR="001E3A0E">
        <w:rPr>
          <w:sz w:val="24"/>
        </w:rPr>
        <w:t xml:space="preserve"> a</w:t>
      </w:r>
      <w:r w:rsidRPr="001E3A0E">
        <w:rPr>
          <w:sz w:val="24"/>
        </w:rPr>
        <w:t xml:space="preserve"> FI has more opportunity to observe frailty trajectory. On the other hand, the flexible nature of this approach limits cross-cohort comparison. The inconsistency in cut points used to define frailty indices states prevents comprehensive between cohort analysis. </w:t>
      </w:r>
    </w:p>
    <w:p w14:paraId="0002106E" w14:textId="77777777" w:rsidR="00885640" w:rsidRPr="001E3A0E" w:rsidRDefault="00885640" w:rsidP="00885640">
      <w:pPr>
        <w:spacing w:line="360" w:lineRule="auto"/>
        <w:ind w:firstLine="720"/>
        <w:jc w:val="both"/>
        <w:rPr>
          <w:sz w:val="24"/>
        </w:rPr>
      </w:pPr>
      <w:r w:rsidRPr="001E3A0E">
        <w:rPr>
          <w:iCs/>
          <w:sz w:val="24"/>
        </w:rPr>
        <w:t xml:space="preserve">We could not conduct a comprehensive meta-analysis due to the high level of heterogeneity in the evidence on frailty transitions. </w:t>
      </w:r>
      <w:r w:rsidRPr="001E3A0E">
        <w:rPr>
          <w:sz w:val="24"/>
        </w:rPr>
        <w:t>We were also unable to conduct subgroup analysis by gender due to limited data reported in the included studies.  Heterogeneity in age across cohorts presented a challenge when synthesising evidence across cohorts.</w:t>
      </w:r>
    </w:p>
    <w:p w14:paraId="6A3CF612" w14:textId="77777777" w:rsidR="00885640" w:rsidRPr="001E3A0E" w:rsidRDefault="00885640" w:rsidP="00885640">
      <w:pPr>
        <w:spacing w:line="360" w:lineRule="auto"/>
        <w:ind w:firstLine="720"/>
        <w:jc w:val="both"/>
        <w:rPr>
          <w:sz w:val="24"/>
        </w:rPr>
      </w:pPr>
      <w:r w:rsidRPr="001E3A0E">
        <w:rPr>
          <w:sz w:val="24"/>
        </w:rPr>
        <w:t xml:space="preserve">This review is the first to provide synthesised evidence on frailty transition between the stages of frailty and to death among community-dwelling older people, as well as to demonstrate the associations between frailty indices and social and behavioural factors, and the capacity of FI to act as an accurate predictor of adverse outcomes and death. Another strength of the review is the comprehensive methodology including extensive and reproducible search strategy using seven electronic databases. The identified studies were screened with standardised processes and assessed for methodological quality independently by two reviewers. </w:t>
      </w:r>
    </w:p>
    <w:p w14:paraId="3FB8ED87" w14:textId="2C945B77" w:rsidR="00885640" w:rsidRPr="001E3A0E" w:rsidRDefault="00885640" w:rsidP="00885640">
      <w:pPr>
        <w:spacing w:line="360" w:lineRule="auto"/>
        <w:ind w:firstLine="720"/>
        <w:jc w:val="both"/>
        <w:rPr>
          <w:sz w:val="24"/>
        </w:rPr>
      </w:pPr>
      <w:r w:rsidRPr="001E3A0E">
        <w:rPr>
          <w:sz w:val="24"/>
        </w:rPr>
        <w:t>The review findings contribute to understanding frailty progression in older people living in the community and underscore the role of geriatric medicine in smoothing natural progression of human life to death. The frailty index is prove</w:t>
      </w:r>
      <w:r w:rsidR="001E3A0E">
        <w:rPr>
          <w:sz w:val="24"/>
        </w:rPr>
        <w:t>n</w:t>
      </w:r>
      <w:r w:rsidRPr="001E3A0E">
        <w:rPr>
          <w:sz w:val="24"/>
        </w:rPr>
        <w:t xml:space="preserve"> to be a flexible tool to measure frailty transitions. Moreover, it allows to measure frailty in many cohorts, for which FI estimates seemed to be similar - older people with frailty are more likely to experience deterioration and, like in the review on phenotypic frailty </w:t>
      </w:r>
      <w:r w:rsidRPr="001E3A0E">
        <w:rPr>
          <w:noProof/>
          <w:sz w:val="24"/>
        </w:rPr>
        <w:t>(Kojima et al., 2019)</w:t>
      </w:r>
      <w:r w:rsidRPr="001E3A0E">
        <w:rPr>
          <w:sz w:val="24"/>
        </w:rPr>
        <w:t xml:space="preserve">, the reverse is also possible. Hence, FI is a useful tool for a within cohort comparison. The between cohorts’ comparison yet is a challenging task. Multidomain lifestyle interventions may help to reduce the risk of becoming frail </w:t>
      </w:r>
      <w:r w:rsidRPr="001E3A0E">
        <w:rPr>
          <w:noProof/>
          <w:sz w:val="24"/>
        </w:rPr>
        <w:t>(de Souto Barreto et al., 2018)</w:t>
      </w:r>
      <w:r w:rsidRPr="001E3A0E">
        <w:rPr>
          <w:sz w:val="24"/>
        </w:rPr>
        <w:t xml:space="preserve">. Therefore, it is important to identify signs of frailty at an earlier stage to help older people with some level of frailty to slow down the progression in frailty and/or delay the incidence </w:t>
      </w:r>
      <w:r w:rsidRPr="001E3A0E">
        <w:rPr>
          <w:noProof/>
          <w:sz w:val="24"/>
        </w:rPr>
        <w:t>(de Souto Barreto et al., 2018)</w:t>
      </w:r>
      <w:r w:rsidRPr="001E3A0E">
        <w:rPr>
          <w:sz w:val="24"/>
        </w:rPr>
        <w:t>.</w:t>
      </w:r>
    </w:p>
    <w:p w14:paraId="400E5784" w14:textId="77777777" w:rsidR="00885640" w:rsidRPr="001E3A0E" w:rsidRDefault="00885640" w:rsidP="00885640">
      <w:pPr>
        <w:spacing w:line="360" w:lineRule="auto"/>
        <w:rPr>
          <w:sz w:val="24"/>
        </w:rPr>
      </w:pPr>
    </w:p>
    <w:p w14:paraId="014045CA" w14:textId="77777777" w:rsidR="00885640" w:rsidRPr="001E3A0E" w:rsidRDefault="00885640" w:rsidP="00885640">
      <w:pPr>
        <w:spacing w:line="360" w:lineRule="auto"/>
        <w:rPr>
          <w:sz w:val="24"/>
        </w:rPr>
        <w:sectPr w:rsidR="00885640" w:rsidRPr="001E3A0E" w:rsidSect="00885640">
          <w:footerReference w:type="even" r:id="rId17"/>
          <w:footerReference w:type="default" r:id="rId18"/>
          <w:pgSz w:w="11900" w:h="16840"/>
          <w:pgMar w:top="1440" w:right="1440" w:bottom="1440" w:left="1440" w:header="708" w:footer="708" w:gutter="0"/>
          <w:cols w:space="708"/>
          <w:docGrid w:linePitch="360"/>
        </w:sectPr>
      </w:pPr>
    </w:p>
    <w:p w14:paraId="19C1F9E7" w14:textId="77777777" w:rsidR="00885640" w:rsidRPr="001E3A0E" w:rsidRDefault="00885640" w:rsidP="00885640">
      <w:pPr>
        <w:pStyle w:val="Caption"/>
        <w:spacing w:line="360" w:lineRule="auto"/>
        <w:rPr>
          <w:rFonts w:ascii="Times New Roman" w:hAnsi="Times New Roman" w:cs="Times New Roman"/>
          <w:i/>
          <w:iCs/>
          <w:sz w:val="24"/>
          <w:szCs w:val="24"/>
        </w:rPr>
      </w:pPr>
      <w:r w:rsidRPr="001E3A0E">
        <w:rPr>
          <w:rFonts w:ascii="Times New Roman" w:hAnsi="Times New Roman" w:cs="Times New Roman"/>
          <w:sz w:val="24"/>
          <w:szCs w:val="24"/>
        </w:rPr>
        <w:t xml:space="preserve">Supplementary </w:t>
      </w:r>
    </w:p>
    <w:p w14:paraId="419CCA24" w14:textId="77777777" w:rsidR="00885640" w:rsidRPr="001E3A0E" w:rsidRDefault="00885640" w:rsidP="00885640">
      <w:pPr>
        <w:pStyle w:val="Caption"/>
        <w:spacing w:line="360" w:lineRule="auto"/>
        <w:rPr>
          <w:rFonts w:ascii="Times New Roman" w:hAnsi="Times New Roman" w:cs="Times New Roman"/>
          <w:i/>
          <w:iCs/>
          <w:sz w:val="24"/>
          <w:szCs w:val="24"/>
        </w:rPr>
      </w:pPr>
      <w:r w:rsidRPr="001E3A0E">
        <w:rPr>
          <w:rFonts w:ascii="Times New Roman" w:hAnsi="Times New Roman" w:cs="Times New Roman"/>
          <w:sz w:val="24"/>
          <w:szCs w:val="24"/>
        </w:rPr>
        <w:t xml:space="preserve">Table </w:t>
      </w:r>
      <w:r w:rsidRPr="001E3A0E">
        <w:rPr>
          <w:rFonts w:ascii="Times New Roman" w:hAnsi="Times New Roman" w:cs="Times New Roman"/>
          <w:i/>
          <w:iCs/>
          <w:sz w:val="24"/>
          <w:szCs w:val="24"/>
        </w:rPr>
        <w:fldChar w:fldCharType="begin"/>
      </w:r>
      <w:r w:rsidRPr="001E3A0E">
        <w:rPr>
          <w:rFonts w:ascii="Times New Roman" w:hAnsi="Times New Roman" w:cs="Times New Roman"/>
          <w:sz w:val="24"/>
          <w:szCs w:val="24"/>
        </w:rPr>
        <w:instrText xml:space="preserve"> SEQ Table \* ARABIC </w:instrText>
      </w:r>
      <w:r w:rsidRPr="001E3A0E">
        <w:rPr>
          <w:rFonts w:ascii="Times New Roman" w:hAnsi="Times New Roman" w:cs="Times New Roman"/>
          <w:i/>
          <w:iCs/>
          <w:sz w:val="24"/>
          <w:szCs w:val="24"/>
        </w:rPr>
        <w:fldChar w:fldCharType="separate"/>
      </w:r>
      <w:r w:rsidRPr="001E3A0E">
        <w:rPr>
          <w:rFonts w:ascii="Times New Roman" w:hAnsi="Times New Roman" w:cs="Times New Roman"/>
          <w:noProof/>
          <w:sz w:val="24"/>
          <w:szCs w:val="24"/>
        </w:rPr>
        <w:t>3</w:t>
      </w:r>
      <w:r w:rsidRPr="001E3A0E">
        <w:rPr>
          <w:rFonts w:ascii="Times New Roman" w:hAnsi="Times New Roman" w:cs="Times New Roman"/>
          <w:i/>
          <w:iCs/>
          <w:sz w:val="24"/>
          <w:szCs w:val="24"/>
        </w:rPr>
        <w:fldChar w:fldCharType="end"/>
      </w:r>
      <w:r w:rsidRPr="001E3A0E">
        <w:rPr>
          <w:rFonts w:ascii="Times New Roman" w:hAnsi="Times New Roman" w:cs="Times New Roman"/>
          <w:sz w:val="24"/>
          <w:szCs w:val="24"/>
        </w:rPr>
        <w:t xml:space="preserve"> Risk of bias assessment (modified Newcastle-Ottawa Quality Assessment Scale)</w:t>
      </w:r>
    </w:p>
    <w:p w14:paraId="3703A766" w14:textId="77777777" w:rsidR="00885640" w:rsidRPr="001E3A0E" w:rsidRDefault="00885640" w:rsidP="00885640">
      <w:pPr>
        <w:spacing w:line="360" w:lineRule="auto"/>
        <w:rPr>
          <w:sz w:val="24"/>
        </w:rPr>
      </w:pPr>
    </w:p>
    <w:tbl>
      <w:tblPr>
        <w:tblW w:w="14601" w:type="dxa"/>
        <w:tblLayout w:type="fixed"/>
        <w:tblLook w:val="04A0" w:firstRow="1" w:lastRow="0" w:firstColumn="1" w:lastColumn="0" w:noHBand="0" w:noVBand="1"/>
      </w:tblPr>
      <w:tblGrid>
        <w:gridCol w:w="1134"/>
        <w:gridCol w:w="1843"/>
        <w:gridCol w:w="1276"/>
        <w:gridCol w:w="1276"/>
        <w:gridCol w:w="1275"/>
        <w:gridCol w:w="236"/>
        <w:gridCol w:w="2032"/>
        <w:gridCol w:w="284"/>
        <w:gridCol w:w="1134"/>
        <w:gridCol w:w="992"/>
        <w:gridCol w:w="709"/>
        <w:gridCol w:w="854"/>
        <w:gridCol w:w="1556"/>
      </w:tblGrid>
      <w:tr w:rsidR="00885640" w:rsidRPr="001E3A0E" w14:paraId="53AAEF23" w14:textId="77777777" w:rsidTr="000B7B7D">
        <w:trPr>
          <w:trHeight w:val="260"/>
          <w:tblHeader/>
        </w:trPr>
        <w:tc>
          <w:tcPr>
            <w:tcW w:w="1134" w:type="dxa"/>
            <w:tcBorders>
              <w:top w:val="single" w:sz="4" w:space="0" w:color="auto"/>
              <w:left w:val="nil"/>
              <w:bottom w:val="single" w:sz="4" w:space="0" w:color="auto"/>
              <w:right w:val="nil"/>
            </w:tcBorders>
          </w:tcPr>
          <w:p w14:paraId="2239CDD2" w14:textId="77777777" w:rsidR="00885640" w:rsidRPr="001E3A0E" w:rsidRDefault="00885640" w:rsidP="00885640">
            <w:pPr>
              <w:spacing w:line="360" w:lineRule="auto"/>
              <w:jc w:val="center"/>
              <w:rPr>
                <w:b/>
                <w:bCs/>
                <w:sz w:val="24"/>
              </w:rPr>
            </w:pPr>
            <w:r w:rsidRPr="001E3A0E">
              <w:rPr>
                <w:b/>
                <w:bCs/>
                <w:sz w:val="24"/>
              </w:rPr>
              <w:t>Study</w:t>
            </w:r>
          </w:p>
        </w:tc>
        <w:tc>
          <w:tcPr>
            <w:tcW w:w="5670" w:type="dxa"/>
            <w:gridSpan w:val="4"/>
            <w:tcBorders>
              <w:top w:val="single" w:sz="4" w:space="0" w:color="auto"/>
              <w:left w:val="nil"/>
              <w:bottom w:val="single" w:sz="4" w:space="0" w:color="auto"/>
              <w:right w:val="nil"/>
            </w:tcBorders>
            <w:shd w:val="clear" w:color="auto" w:fill="auto"/>
            <w:vAlign w:val="center"/>
            <w:hideMark/>
          </w:tcPr>
          <w:p w14:paraId="1E99BBFF" w14:textId="77777777" w:rsidR="00885640" w:rsidRPr="001E3A0E" w:rsidRDefault="00885640" w:rsidP="00885640">
            <w:pPr>
              <w:spacing w:line="360" w:lineRule="auto"/>
              <w:jc w:val="center"/>
              <w:rPr>
                <w:b/>
                <w:bCs/>
                <w:sz w:val="24"/>
              </w:rPr>
            </w:pPr>
            <w:r w:rsidRPr="001E3A0E">
              <w:rPr>
                <w:b/>
                <w:bCs/>
                <w:sz w:val="24"/>
              </w:rPr>
              <w:t>Selection</w:t>
            </w:r>
          </w:p>
        </w:tc>
        <w:tc>
          <w:tcPr>
            <w:tcW w:w="236" w:type="dxa"/>
            <w:tcBorders>
              <w:top w:val="single" w:sz="4" w:space="0" w:color="auto"/>
              <w:left w:val="nil"/>
              <w:bottom w:val="single" w:sz="4" w:space="0" w:color="auto"/>
              <w:right w:val="nil"/>
            </w:tcBorders>
            <w:shd w:val="clear" w:color="auto" w:fill="auto"/>
            <w:noWrap/>
            <w:vAlign w:val="bottom"/>
            <w:hideMark/>
          </w:tcPr>
          <w:p w14:paraId="0ACDDCCA" w14:textId="77777777" w:rsidR="00885640" w:rsidRPr="001E3A0E" w:rsidRDefault="00885640" w:rsidP="00885640">
            <w:pPr>
              <w:spacing w:line="360" w:lineRule="auto"/>
              <w:rPr>
                <w:b/>
                <w:bCs/>
                <w:sz w:val="24"/>
              </w:rPr>
            </w:pPr>
            <w:r w:rsidRPr="001E3A0E">
              <w:rPr>
                <w:b/>
                <w:bCs/>
                <w:sz w:val="24"/>
              </w:rPr>
              <w:t> </w:t>
            </w:r>
          </w:p>
        </w:tc>
        <w:tc>
          <w:tcPr>
            <w:tcW w:w="2032" w:type="dxa"/>
            <w:tcBorders>
              <w:top w:val="single" w:sz="4" w:space="0" w:color="auto"/>
              <w:left w:val="nil"/>
              <w:bottom w:val="single" w:sz="4" w:space="0" w:color="auto"/>
              <w:right w:val="nil"/>
            </w:tcBorders>
            <w:shd w:val="clear" w:color="auto" w:fill="auto"/>
            <w:noWrap/>
            <w:vAlign w:val="bottom"/>
            <w:hideMark/>
          </w:tcPr>
          <w:p w14:paraId="169BD8DF" w14:textId="77777777" w:rsidR="00885640" w:rsidRPr="001E3A0E" w:rsidRDefault="00885640" w:rsidP="00885640">
            <w:pPr>
              <w:spacing w:line="360" w:lineRule="auto"/>
              <w:jc w:val="center"/>
              <w:rPr>
                <w:b/>
                <w:bCs/>
                <w:sz w:val="24"/>
              </w:rPr>
            </w:pPr>
            <w:r w:rsidRPr="001E3A0E">
              <w:rPr>
                <w:b/>
                <w:bCs/>
                <w:sz w:val="24"/>
              </w:rPr>
              <w:t xml:space="preserve">Comparability </w:t>
            </w:r>
          </w:p>
        </w:tc>
        <w:tc>
          <w:tcPr>
            <w:tcW w:w="284" w:type="dxa"/>
            <w:tcBorders>
              <w:top w:val="single" w:sz="4" w:space="0" w:color="auto"/>
              <w:left w:val="nil"/>
              <w:bottom w:val="single" w:sz="4" w:space="0" w:color="auto"/>
              <w:right w:val="nil"/>
            </w:tcBorders>
            <w:shd w:val="clear" w:color="auto" w:fill="auto"/>
            <w:noWrap/>
            <w:vAlign w:val="bottom"/>
            <w:hideMark/>
          </w:tcPr>
          <w:p w14:paraId="73DBB248" w14:textId="77777777" w:rsidR="00885640" w:rsidRPr="001E3A0E" w:rsidRDefault="00885640" w:rsidP="00885640">
            <w:pPr>
              <w:spacing w:line="360" w:lineRule="auto"/>
              <w:rPr>
                <w:b/>
                <w:bCs/>
                <w:sz w:val="24"/>
              </w:rPr>
            </w:pPr>
            <w:r w:rsidRPr="001E3A0E">
              <w:rPr>
                <w:b/>
                <w:bCs/>
                <w:sz w:val="24"/>
              </w:rPr>
              <w:t> </w:t>
            </w:r>
          </w:p>
        </w:tc>
        <w:tc>
          <w:tcPr>
            <w:tcW w:w="3689" w:type="dxa"/>
            <w:gridSpan w:val="4"/>
            <w:tcBorders>
              <w:top w:val="single" w:sz="4" w:space="0" w:color="auto"/>
              <w:left w:val="nil"/>
              <w:bottom w:val="single" w:sz="4" w:space="0" w:color="auto"/>
              <w:right w:val="nil"/>
            </w:tcBorders>
            <w:shd w:val="clear" w:color="auto" w:fill="auto"/>
            <w:noWrap/>
            <w:vAlign w:val="center"/>
            <w:hideMark/>
          </w:tcPr>
          <w:p w14:paraId="4E537B1A" w14:textId="77777777" w:rsidR="00885640" w:rsidRPr="001E3A0E" w:rsidRDefault="00885640" w:rsidP="00885640">
            <w:pPr>
              <w:spacing w:line="360" w:lineRule="auto"/>
              <w:jc w:val="center"/>
              <w:rPr>
                <w:b/>
                <w:bCs/>
                <w:sz w:val="24"/>
              </w:rPr>
            </w:pPr>
            <w:r w:rsidRPr="001E3A0E">
              <w:rPr>
                <w:b/>
                <w:bCs/>
                <w:sz w:val="24"/>
              </w:rPr>
              <w:t>Outcome</w:t>
            </w:r>
          </w:p>
        </w:tc>
        <w:tc>
          <w:tcPr>
            <w:tcW w:w="1556" w:type="dxa"/>
            <w:tcBorders>
              <w:top w:val="single" w:sz="4" w:space="0" w:color="auto"/>
              <w:left w:val="nil"/>
              <w:bottom w:val="single" w:sz="4" w:space="0" w:color="auto"/>
              <w:right w:val="nil"/>
            </w:tcBorders>
          </w:tcPr>
          <w:p w14:paraId="73A67387" w14:textId="77777777" w:rsidR="00885640" w:rsidRPr="001E3A0E" w:rsidRDefault="00885640" w:rsidP="00885640">
            <w:pPr>
              <w:spacing w:line="360" w:lineRule="auto"/>
              <w:jc w:val="center"/>
              <w:rPr>
                <w:b/>
                <w:bCs/>
                <w:sz w:val="24"/>
              </w:rPr>
            </w:pPr>
          </w:p>
        </w:tc>
      </w:tr>
      <w:tr w:rsidR="00885640" w:rsidRPr="001E3A0E" w14:paraId="4A24BA38" w14:textId="77777777" w:rsidTr="00885640">
        <w:trPr>
          <w:trHeight w:val="1120"/>
        </w:trPr>
        <w:tc>
          <w:tcPr>
            <w:tcW w:w="1134" w:type="dxa"/>
            <w:tcBorders>
              <w:top w:val="nil"/>
              <w:left w:val="nil"/>
              <w:bottom w:val="single" w:sz="4" w:space="0" w:color="auto"/>
              <w:right w:val="nil"/>
            </w:tcBorders>
          </w:tcPr>
          <w:p w14:paraId="5FA4FD89" w14:textId="77777777" w:rsidR="00885640" w:rsidRPr="001E3A0E" w:rsidRDefault="00885640" w:rsidP="00885640">
            <w:pPr>
              <w:spacing w:line="360" w:lineRule="auto"/>
              <w:jc w:val="center"/>
              <w:rPr>
                <w:sz w:val="24"/>
              </w:rPr>
            </w:pPr>
          </w:p>
        </w:tc>
        <w:tc>
          <w:tcPr>
            <w:tcW w:w="1843" w:type="dxa"/>
            <w:tcBorders>
              <w:top w:val="nil"/>
              <w:left w:val="nil"/>
              <w:bottom w:val="single" w:sz="4" w:space="0" w:color="auto"/>
              <w:right w:val="nil"/>
            </w:tcBorders>
            <w:shd w:val="clear" w:color="auto" w:fill="auto"/>
            <w:vAlign w:val="center"/>
            <w:hideMark/>
          </w:tcPr>
          <w:p w14:paraId="579F5938" w14:textId="77777777" w:rsidR="00885640" w:rsidRPr="001E3A0E" w:rsidRDefault="00885640" w:rsidP="00885640">
            <w:pPr>
              <w:spacing w:line="360" w:lineRule="auto"/>
              <w:jc w:val="center"/>
              <w:rPr>
                <w:sz w:val="24"/>
              </w:rPr>
            </w:pPr>
            <w:r w:rsidRPr="001E3A0E">
              <w:rPr>
                <w:sz w:val="24"/>
              </w:rPr>
              <w:t>Representativeness of Exposed Cohort</w:t>
            </w:r>
          </w:p>
        </w:tc>
        <w:tc>
          <w:tcPr>
            <w:tcW w:w="1276" w:type="dxa"/>
            <w:tcBorders>
              <w:top w:val="nil"/>
              <w:left w:val="nil"/>
              <w:bottom w:val="single" w:sz="4" w:space="0" w:color="auto"/>
              <w:right w:val="nil"/>
            </w:tcBorders>
            <w:shd w:val="clear" w:color="auto" w:fill="auto"/>
            <w:vAlign w:val="center"/>
            <w:hideMark/>
          </w:tcPr>
          <w:p w14:paraId="172E9B21" w14:textId="77777777" w:rsidR="00885640" w:rsidRPr="001E3A0E" w:rsidRDefault="00885640" w:rsidP="00885640">
            <w:pPr>
              <w:spacing w:line="360" w:lineRule="auto"/>
              <w:jc w:val="center"/>
              <w:rPr>
                <w:sz w:val="24"/>
              </w:rPr>
            </w:pPr>
            <w:r w:rsidRPr="001E3A0E">
              <w:rPr>
                <w:sz w:val="24"/>
              </w:rPr>
              <w:t>Selection of the Non-Exposed Cohort from Same Source as Exposed Cohort</w:t>
            </w:r>
          </w:p>
        </w:tc>
        <w:tc>
          <w:tcPr>
            <w:tcW w:w="1276" w:type="dxa"/>
            <w:tcBorders>
              <w:top w:val="nil"/>
              <w:left w:val="nil"/>
              <w:bottom w:val="single" w:sz="4" w:space="0" w:color="auto"/>
              <w:right w:val="nil"/>
            </w:tcBorders>
            <w:shd w:val="clear" w:color="auto" w:fill="auto"/>
            <w:vAlign w:val="center"/>
            <w:hideMark/>
          </w:tcPr>
          <w:p w14:paraId="7201F609" w14:textId="77777777" w:rsidR="00885640" w:rsidRPr="001E3A0E" w:rsidRDefault="00885640" w:rsidP="00885640">
            <w:pPr>
              <w:spacing w:line="360" w:lineRule="auto"/>
              <w:jc w:val="center"/>
              <w:rPr>
                <w:sz w:val="24"/>
              </w:rPr>
            </w:pPr>
            <w:r w:rsidRPr="001E3A0E">
              <w:rPr>
                <w:sz w:val="24"/>
              </w:rPr>
              <w:t>Ascertainment of exposure</w:t>
            </w:r>
          </w:p>
        </w:tc>
        <w:tc>
          <w:tcPr>
            <w:tcW w:w="1275" w:type="dxa"/>
            <w:tcBorders>
              <w:top w:val="nil"/>
              <w:left w:val="nil"/>
              <w:bottom w:val="single" w:sz="4" w:space="0" w:color="auto"/>
              <w:right w:val="nil"/>
            </w:tcBorders>
            <w:shd w:val="clear" w:color="auto" w:fill="auto"/>
            <w:vAlign w:val="center"/>
            <w:hideMark/>
          </w:tcPr>
          <w:p w14:paraId="5048A830" w14:textId="77777777" w:rsidR="00885640" w:rsidRPr="001E3A0E" w:rsidRDefault="00885640" w:rsidP="00885640">
            <w:pPr>
              <w:spacing w:line="360" w:lineRule="auto"/>
              <w:jc w:val="center"/>
              <w:rPr>
                <w:sz w:val="24"/>
              </w:rPr>
            </w:pPr>
            <w:r w:rsidRPr="001E3A0E">
              <w:rPr>
                <w:sz w:val="24"/>
              </w:rPr>
              <w:t xml:space="preserve"> Demonstration that outcome of interest was not present at start of study</w:t>
            </w:r>
          </w:p>
        </w:tc>
        <w:tc>
          <w:tcPr>
            <w:tcW w:w="236" w:type="dxa"/>
            <w:tcBorders>
              <w:top w:val="nil"/>
              <w:left w:val="nil"/>
              <w:bottom w:val="nil"/>
              <w:right w:val="nil"/>
            </w:tcBorders>
            <w:shd w:val="clear" w:color="auto" w:fill="auto"/>
            <w:noWrap/>
            <w:vAlign w:val="bottom"/>
            <w:hideMark/>
          </w:tcPr>
          <w:p w14:paraId="0E690917" w14:textId="77777777" w:rsidR="00885640" w:rsidRPr="001E3A0E" w:rsidRDefault="00885640" w:rsidP="00885640">
            <w:pPr>
              <w:spacing w:line="360" w:lineRule="auto"/>
              <w:jc w:val="center"/>
              <w:rPr>
                <w:sz w:val="24"/>
              </w:rPr>
            </w:pPr>
          </w:p>
        </w:tc>
        <w:tc>
          <w:tcPr>
            <w:tcW w:w="2032" w:type="dxa"/>
            <w:tcBorders>
              <w:top w:val="nil"/>
              <w:left w:val="nil"/>
              <w:bottom w:val="single" w:sz="4" w:space="0" w:color="auto"/>
              <w:right w:val="nil"/>
            </w:tcBorders>
            <w:shd w:val="clear" w:color="auto" w:fill="auto"/>
            <w:vAlign w:val="center"/>
            <w:hideMark/>
          </w:tcPr>
          <w:p w14:paraId="6E8E6E0D" w14:textId="77777777" w:rsidR="00885640" w:rsidRPr="001E3A0E" w:rsidRDefault="00885640" w:rsidP="00885640">
            <w:pPr>
              <w:spacing w:line="360" w:lineRule="auto"/>
              <w:jc w:val="center"/>
              <w:rPr>
                <w:sz w:val="24"/>
              </w:rPr>
            </w:pPr>
            <w:r w:rsidRPr="001E3A0E">
              <w:rPr>
                <w:sz w:val="24"/>
              </w:rPr>
              <w:t xml:space="preserve">Comparability of cohorts </w:t>
            </w:r>
          </w:p>
        </w:tc>
        <w:tc>
          <w:tcPr>
            <w:tcW w:w="284" w:type="dxa"/>
            <w:tcBorders>
              <w:top w:val="nil"/>
              <w:left w:val="nil"/>
              <w:bottom w:val="nil"/>
              <w:right w:val="nil"/>
            </w:tcBorders>
            <w:shd w:val="clear" w:color="auto" w:fill="auto"/>
            <w:noWrap/>
            <w:vAlign w:val="bottom"/>
            <w:hideMark/>
          </w:tcPr>
          <w:p w14:paraId="6920D97D" w14:textId="77777777" w:rsidR="00885640" w:rsidRPr="001E3A0E" w:rsidRDefault="00885640" w:rsidP="00885640">
            <w:pPr>
              <w:spacing w:line="360" w:lineRule="auto"/>
              <w:jc w:val="center"/>
              <w:rPr>
                <w:sz w:val="24"/>
              </w:rPr>
            </w:pPr>
          </w:p>
        </w:tc>
        <w:tc>
          <w:tcPr>
            <w:tcW w:w="1134" w:type="dxa"/>
            <w:tcBorders>
              <w:top w:val="nil"/>
              <w:left w:val="nil"/>
              <w:bottom w:val="single" w:sz="4" w:space="0" w:color="auto"/>
              <w:right w:val="nil"/>
            </w:tcBorders>
            <w:shd w:val="clear" w:color="auto" w:fill="auto"/>
            <w:vAlign w:val="center"/>
            <w:hideMark/>
          </w:tcPr>
          <w:p w14:paraId="2C44787D" w14:textId="77777777" w:rsidR="00885640" w:rsidRPr="001E3A0E" w:rsidRDefault="00885640" w:rsidP="00885640">
            <w:pPr>
              <w:spacing w:line="360" w:lineRule="auto"/>
              <w:jc w:val="center"/>
              <w:rPr>
                <w:sz w:val="24"/>
              </w:rPr>
            </w:pPr>
            <w:r w:rsidRPr="001E3A0E">
              <w:rPr>
                <w:sz w:val="24"/>
              </w:rPr>
              <w:t xml:space="preserve">Assessment of outcome </w:t>
            </w:r>
          </w:p>
        </w:tc>
        <w:tc>
          <w:tcPr>
            <w:tcW w:w="992" w:type="dxa"/>
            <w:tcBorders>
              <w:top w:val="nil"/>
              <w:left w:val="nil"/>
              <w:bottom w:val="single" w:sz="4" w:space="0" w:color="auto"/>
              <w:right w:val="nil"/>
            </w:tcBorders>
            <w:shd w:val="clear" w:color="auto" w:fill="auto"/>
            <w:vAlign w:val="center"/>
            <w:hideMark/>
          </w:tcPr>
          <w:p w14:paraId="59CF1259" w14:textId="77777777" w:rsidR="00885640" w:rsidRPr="001E3A0E" w:rsidRDefault="00885640" w:rsidP="00885640">
            <w:pPr>
              <w:spacing w:line="360" w:lineRule="auto"/>
              <w:jc w:val="center"/>
              <w:rPr>
                <w:sz w:val="24"/>
              </w:rPr>
            </w:pPr>
            <w:r w:rsidRPr="001E3A0E">
              <w:rPr>
                <w:sz w:val="24"/>
              </w:rPr>
              <w:t>Follow-up long enough for outcomes to occur (Duration of outcome &gt;= 1 year)</w:t>
            </w:r>
          </w:p>
        </w:tc>
        <w:tc>
          <w:tcPr>
            <w:tcW w:w="709" w:type="dxa"/>
            <w:tcBorders>
              <w:top w:val="nil"/>
              <w:left w:val="nil"/>
              <w:bottom w:val="single" w:sz="4" w:space="0" w:color="auto"/>
              <w:right w:val="nil"/>
            </w:tcBorders>
            <w:shd w:val="clear" w:color="auto" w:fill="auto"/>
            <w:vAlign w:val="center"/>
            <w:hideMark/>
          </w:tcPr>
          <w:p w14:paraId="77FFD059" w14:textId="77777777" w:rsidR="00885640" w:rsidRPr="001E3A0E" w:rsidRDefault="00885640" w:rsidP="00885640">
            <w:pPr>
              <w:spacing w:line="360" w:lineRule="auto"/>
              <w:jc w:val="center"/>
              <w:rPr>
                <w:sz w:val="24"/>
              </w:rPr>
            </w:pPr>
            <w:r w:rsidRPr="001E3A0E">
              <w:rPr>
                <w:sz w:val="24"/>
              </w:rPr>
              <w:t xml:space="preserve">Adequacy of follow up </w:t>
            </w:r>
          </w:p>
        </w:tc>
        <w:tc>
          <w:tcPr>
            <w:tcW w:w="854" w:type="dxa"/>
            <w:tcBorders>
              <w:top w:val="nil"/>
              <w:left w:val="nil"/>
              <w:bottom w:val="single" w:sz="4" w:space="0" w:color="auto"/>
              <w:right w:val="nil"/>
            </w:tcBorders>
            <w:shd w:val="clear" w:color="auto" w:fill="auto"/>
            <w:vAlign w:val="center"/>
            <w:hideMark/>
          </w:tcPr>
          <w:p w14:paraId="2BE8D561" w14:textId="77777777" w:rsidR="00885640" w:rsidRPr="001E3A0E" w:rsidRDefault="00885640" w:rsidP="00885640">
            <w:pPr>
              <w:spacing w:line="360" w:lineRule="auto"/>
              <w:jc w:val="center"/>
              <w:rPr>
                <w:sz w:val="24"/>
              </w:rPr>
            </w:pPr>
            <w:r w:rsidRPr="001E3A0E">
              <w:rPr>
                <w:sz w:val="24"/>
              </w:rPr>
              <w:t>Number of deficits &gt;=30 (y/n)</w:t>
            </w:r>
          </w:p>
        </w:tc>
        <w:tc>
          <w:tcPr>
            <w:tcW w:w="1556" w:type="dxa"/>
            <w:tcBorders>
              <w:top w:val="nil"/>
              <w:left w:val="nil"/>
              <w:bottom w:val="single" w:sz="4" w:space="0" w:color="auto"/>
              <w:right w:val="nil"/>
            </w:tcBorders>
          </w:tcPr>
          <w:p w14:paraId="1E4EA536" w14:textId="77777777" w:rsidR="00885640" w:rsidRPr="001E3A0E" w:rsidRDefault="00885640" w:rsidP="00885640">
            <w:pPr>
              <w:spacing w:line="360" w:lineRule="auto"/>
              <w:jc w:val="center"/>
              <w:rPr>
                <w:sz w:val="24"/>
              </w:rPr>
            </w:pPr>
            <w:r w:rsidRPr="001E3A0E">
              <w:rPr>
                <w:sz w:val="24"/>
              </w:rPr>
              <w:t>NOS Quality score</w:t>
            </w:r>
          </w:p>
        </w:tc>
      </w:tr>
      <w:tr w:rsidR="00885640" w:rsidRPr="001E3A0E" w14:paraId="015E121D" w14:textId="77777777" w:rsidTr="00885640">
        <w:trPr>
          <w:trHeight w:val="2800"/>
        </w:trPr>
        <w:tc>
          <w:tcPr>
            <w:tcW w:w="1134" w:type="dxa"/>
            <w:tcBorders>
              <w:top w:val="nil"/>
              <w:left w:val="nil"/>
              <w:bottom w:val="single" w:sz="4" w:space="0" w:color="auto"/>
              <w:right w:val="nil"/>
            </w:tcBorders>
          </w:tcPr>
          <w:p w14:paraId="7E08D99F" w14:textId="77777777" w:rsidR="00885640" w:rsidRPr="001E3A0E" w:rsidRDefault="00885640" w:rsidP="00885640">
            <w:pPr>
              <w:spacing w:line="360" w:lineRule="auto"/>
              <w:jc w:val="center"/>
              <w:rPr>
                <w:sz w:val="24"/>
              </w:rPr>
            </w:pPr>
            <w:r w:rsidRPr="001E3A0E">
              <w:rPr>
                <w:sz w:val="24"/>
              </w:rPr>
              <w:t>Thompson et al</w:t>
            </w:r>
            <w:r w:rsidRPr="001E3A0E">
              <w:rPr>
                <w:sz w:val="24"/>
                <w:shd w:val="clear" w:color="auto" w:fill="FFFFFF"/>
              </w:rPr>
              <w:t>.</w:t>
            </w:r>
            <w:r w:rsidRPr="001E3A0E">
              <w:rPr>
                <w:sz w:val="24"/>
              </w:rPr>
              <w:t xml:space="preserve"> (ID:1))</w:t>
            </w:r>
          </w:p>
        </w:tc>
        <w:tc>
          <w:tcPr>
            <w:tcW w:w="1843" w:type="dxa"/>
            <w:tcBorders>
              <w:top w:val="nil"/>
              <w:left w:val="nil"/>
              <w:bottom w:val="single" w:sz="4" w:space="0" w:color="auto"/>
              <w:right w:val="nil"/>
            </w:tcBorders>
            <w:shd w:val="clear" w:color="auto" w:fill="auto"/>
            <w:vAlign w:val="center"/>
            <w:hideMark/>
          </w:tcPr>
          <w:p w14:paraId="34919C74" w14:textId="77777777" w:rsidR="00885640" w:rsidRPr="001E3A0E" w:rsidRDefault="00885640" w:rsidP="00885640">
            <w:pPr>
              <w:spacing w:line="360" w:lineRule="auto"/>
              <w:jc w:val="center"/>
              <w:rPr>
                <w:sz w:val="24"/>
              </w:rPr>
            </w:pPr>
            <w:r w:rsidRPr="001E3A0E">
              <w:rPr>
                <w:sz w:val="24"/>
              </w:rPr>
              <w:t xml:space="preserve"> Community-dwelling older adults (&gt;=65) living in the </w:t>
            </w:r>
            <w:proofErr w:type="gramStart"/>
            <w:r w:rsidRPr="001E3A0E">
              <w:rPr>
                <w:sz w:val="24"/>
              </w:rPr>
              <w:t>North West</w:t>
            </w:r>
            <w:proofErr w:type="gramEnd"/>
            <w:r w:rsidRPr="001E3A0E">
              <w:rPr>
                <w:sz w:val="24"/>
              </w:rPr>
              <w:t xml:space="preserve"> of</w:t>
            </w:r>
            <w:r w:rsidRPr="001E3A0E">
              <w:rPr>
                <w:sz w:val="24"/>
              </w:rPr>
              <w:br/>
              <w:t xml:space="preserve">Adelaide, South Australia. Participants were truly representative of the community (data were weighted to the area population). </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512BD300"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194A7E12" w14:textId="77777777" w:rsidR="00885640" w:rsidRPr="001E3A0E" w:rsidRDefault="00885640" w:rsidP="00885640">
            <w:pPr>
              <w:spacing w:line="360" w:lineRule="auto"/>
              <w:jc w:val="center"/>
              <w:rPr>
                <w:sz w:val="24"/>
              </w:rPr>
            </w:pPr>
            <w:r w:rsidRPr="001E3A0E">
              <w:rPr>
                <w:sz w:val="24"/>
              </w:rPr>
              <w:t>Participants were interviewed</w:t>
            </w:r>
            <w:r w:rsidRPr="001E3A0E">
              <w:rPr>
                <w:sz w:val="24"/>
              </w:rPr>
              <w:br/>
            </w:r>
            <w:r w:rsidRPr="001E3A0E">
              <w:rPr>
                <w:rFonts w:ascii="Segoe UI Symbol" w:hAnsi="Segoe UI Symbol" w:cs="Segoe UI Symbol"/>
                <w:sz w:val="24"/>
              </w:rPr>
              <w:t>⭑</w:t>
            </w:r>
          </w:p>
        </w:tc>
        <w:tc>
          <w:tcPr>
            <w:tcW w:w="1275" w:type="dxa"/>
            <w:tcBorders>
              <w:top w:val="nil"/>
              <w:left w:val="nil"/>
              <w:bottom w:val="single" w:sz="4" w:space="0" w:color="auto"/>
              <w:right w:val="nil"/>
            </w:tcBorders>
            <w:shd w:val="clear" w:color="auto" w:fill="auto"/>
            <w:vAlign w:val="center"/>
            <w:hideMark/>
          </w:tcPr>
          <w:p w14:paraId="59D32E90"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236" w:type="dxa"/>
            <w:tcBorders>
              <w:top w:val="nil"/>
              <w:left w:val="nil"/>
              <w:bottom w:val="single" w:sz="4" w:space="0" w:color="auto"/>
              <w:right w:val="nil"/>
            </w:tcBorders>
            <w:shd w:val="clear" w:color="auto" w:fill="auto"/>
            <w:noWrap/>
            <w:vAlign w:val="bottom"/>
            <w:hideMark/>
          </w:tcPr>
          <w:p w14:paraId="15AE22BB" w14:textId="77777777" w:rsidR="00885640" w:rsidRPr="001E3A0E" w:rsidRDefault="00885640" w:rsidP="00885640">
            <w:pPr>
              <w:spacing w:line="360" w:lineRule="auto"/>
              <w:rPr>
                <w:sz w:val="24"/>
              </w:rPr>
            </w:pPr>
            <w:r w:rsidRPr="001E3A0E">
              <w:rPr>
                <w:sz w:val="24"/>
              </w:rPr>
              <w:t> </w:t>
            </w:r>
          </w:p>
        </w:tc>
        <w:tc>
          <w:tcPr>
            <w:tcW w:w="2032" w:type="dxa"/>
            <w:tcBorders>
              <w:top w:val="nil"/>
              <w:left w:val="nil"/>
              <w:bottom w:val="single" w:sz="4" w:space="0" w:color="auto"/>
              <w:right w:val="nil"/>
            </w:tcBorders>
            <w:shd w:val="clear" w:color="auto" w:fill="auto"/>
            <w:vAlign w:val="center"/>
            <w:hideMark/>
          </w:tcPr>
          <w:p w14:paraId="5477204C" w14:textId="77777777" w:rsidR="00885640" w:rsidRPr="001E3A0E" w:rsidRDefault="00885640" w:rsidP="00885640">
            <w:pPr>
              <w:spacing w:line="360" w:lineRule="auto"/>
              <w:jc w:val="center"/>
              <w:rPr>
                <w:sz w:val="24"/>
              </w:rPr>
            </w:pPr>
            <w:r w:rsidRPr="001E3A0E">
              <w:rPr>
                <w:sz w:val="24"/>
              </w:rPr>
              <w:t>Controlled for the most important factors: age, gender, education level, marital status, income level;</w:t>
            </w:r>
            <w:r w:rsidRPr="001E3A0E">
              <w:rPr>
                <w:sz w:val="24"/>
              </w:rPr>
              <w:br/>
              <w:t>Controlled for additional factors: smoking status, alcohol consumption, waist circumference, multimorbidity, polypharmacy, living arrangements</w:t>
            </w:r>
            <w:r w:rsidRPr="001E3A0E">
              <w:rPr>
                <w:sz w:val="24"/>
              </w:rPr>
              <w:br/>
            </w:r>
            <w:r w:rsidRPr="001E3A0E">
              <w:rPr>
                <w:rFonts w:ascii="Segoe UI Symbol" w:hAnsi="Segoe UI Symbol" w:cs="Segoe UI Symbol"/>
                <w:sz w:val="24"/>
              </w:rPr>
              <w:t>⭑⭑</w:t>
            </w:r>
          </w:p>
        </w:tc>
        <w:tc>
          <w:tcPr>
            <w:tcW w:w="284" w:type="dxa"/>
            <w:tcBorders>
              <w:top w:val="nil"/>
              <w:left w:val="nil"/>
              <w:bottom w:val="single" w:sz="4" w:space="0" w:color="auto"/>
              <w:right w:val="nil"/>
            </w:tcBorders>
            <w:shd w:val="clear" w:color="auto" w:fill="auto"/>
            <w:vAlign w:val="center"/>
            <w:hideMark/>
          </w:tcPr>
          <w:p w14:paraId="791EDE92" w14:textId="77777777" w:rsidR="00885640" w:rsidRPr="001E3A0E" w:rsidRDefault="00885640" w:rsidP="00885640">
            <w:pPr>
              <w:spacing w:line="360" w:lineRule="auto"/>
              <w:jc w:val="center"/>
              <w:rPr>
                <w:sz w:val="24"/>
              </w:rPr>
            </w:pPr>
            <w:r w:rsidRPr="001E3A0E">
              <w:rPr>
                <w:sz w:val="24"/>
              </w:rPr>
              <w:t> </w:t>
            </w:r>
          </w:p>
        </w:tc>
        <w:tc>
          <w:tcPr>
            <w:tcW w:w="1134" w:type="dxa"/>
            <w:tcBorders>
              <w:top w:val="nil"/>
              <w:left w:val="nil"/>
              <w:bottom w:val="single" w:sz="4" w:space="0" w:color="auto"/>
              <w:right w:val="nil"/>
            </w:tcBorders>
            <w:shd w:val="clear" w:color="auto" w:fill="auto"/>
            <w:vAlign w:val="center"/>
            <w:hideMark/>
          </w:tcPr>
          <w:p w14:paraId="304D7483" w14:textId="77777777" w:rsidR="00885640" w:rsidRPr="001E3A0E" w:rsidRDefault="00885640" w:rsidP="00885640">
            <w:pPr>
              <w:spacing w:line="360" w:lineRule="auto"/>
              <w:jc w:val="center"/>
              <w:rPr>
                <w:sz w:val="24"/>
              </w:rPr>
            </w:pPr>
            <w:r w:rsidRPr="001E3A0E">
              <w:rPr>
                <w:sz w:val="24"/>
              </w:rPr>
              <w:t>Self-report and record linkage</w:t>
            </w:r>
            <w:r w:rsidRPr="001E3A0E">
              <w:rPr>
                <w:sz w:val="24"/>
              </w:rPr>
              <w:br/>
            </w:r>
            <w:r w:rsidRPr="001E3A0E">
              <w:rPr>
                <w:rFonts w:ascii="Segoe UI Symbol" w:hAnsi="Segoe UI Symbol" w:cs="Segoe UI Symbol"/>
                <w:sz w:val="24"/>
              </w:rPr>
              <w:t>⭑</w:t>
            </w:r>
          </w:p>
        </w:tc>
        <w:tc>
          <w:tcPr>
            <w:tcW w:w="992" w:type="dxa"/>
            <w:tcBorders>
              <w:top w:val="nil"/>
              <w:left w:val="nil"/>
              <w:bottom w:val="single" w:sz="4" w:space="0" w:color="auto"/>
              <w:right w:val="nil"/>
            </w:tcBorders>
            <w:shd w:val="clear" w:color="auto" w:fill="auto"/>
            <w:vAlign w:val="center"/>
            <w:hideMark/>
          </w:tcPr>
          <w:p w14:paraId="267B879B"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709" w:type="dxa"/>
            <w:tcBorders>
              <w:top w:val="nil"/>
              <w:left w:val="nil"/>
              <w:bottom w:val="single" w:sz="4" w:space="0" w:color="auto"/>
              <w:right w:val="nil"/>
            </w:tcBorders>
            <w:shd w:val="clear" w:color="auto" w:fill="auto"/>
            <w:vAlign w:val="center"/>
            <w:hideMark/>
          </w:tcPr>
          <w:p w14:paraId="6C0DF9C2" w14:textId="77777777" w:rsidR="00885640" w:rsidRPr="001E3A0E" w:rsidRDefault="00885640" w:rsidP="00885640">
            <w:pPr>
              <w:spacing w:line="360" w:lineRule="auto"/>
              <w:jc w:val="center"/>
              <w:rPr>
                <w:sz w:val="24"/>
              </w:rPr>
            </w:pPr>
            <w:r w:rsidRPr="001E3A0E">
              <w:rPr>
                <w:sz w:val="24"/>
              </w:rPr>
              <w:t>83% participated at 4.5-year follow up</w:t>
            </w:r>
            <w:r w:rsidRPr="001E3A0E">
              <w:rPr>
                <w:sz w:val="24"/>
              </w:rPr>
              <w:br/>
            </w:r>
            <w:r w:rsidRPr="001E3A0E">
              <w:rPr>
                <w:rFonts w:ascii="Segoe UI Symbol" w:hAnsi="Segoe UI Symbol" w:cs="Segoe UI Symbol"/>
                <w:sz w:val="24"/>
              </w:rPr>
              <w:t>⭑</w:t>
            </w:r>
          </w:p>
        </w:tc>
        <w:tc>
          <w:tcPr>
            <w:tcW w:w="854" w:type="dxa"/>
            <w:tcBorders>
              <w:top w:val="nil"/>
              <w:left w:val="nil"/>
              <w:bottom w:val="single" w:sz="4" w:space="0" w:color="auto"/>
              <w:right w:val="nil"/>
            </w:tcBorders>
            <w:shd w:val="clear" w:color="auto" w:fill="auto"/>
            <w:noWrap/>
            <w:vAlign w:val="center"/>
            <w:hideMark/>
          </w:tcPr>
          <w:p w14:paraId="6F336702"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556" w:type="dxa"/>
            <w:tcBorders>
              <w:top w:val="nil"/>
              <w:left w:val="nil"/>
              <w:bottom w:val="single" w:sz="4" w:space="0" w:color="auto"/>
              <w:right w:val="nil"/>
            </w:tcBorders>
          </w:tcPr>
          <w:p w14:paraId="2203A859" w14:textId="77777777" w:rsidR="00885640" w:rsidRPr="001E3A0E" w:rsidRDefault="00885640" w:rsidP="00885640">
            <w:pPr>
              <w:spacing w:line="360" w:lineRule="auto"/>
              <w:jc w:val="center"/>
              <w:rPr>
                <w:sz w:val="24"/>
              </w:rPr>
            </w:pPr>
            <w:r w:rsidRPr="001E3A0E">
              <w:rPr>
                <w:sz w:val="24"/>
              </w:rPr>
              <w:t>Good</w:t>
            </w:r>
          </w:p>
        </w:tc>
      </w:tr>
      <w:tr w:rsidR="00885640" w:rsidRPr="001E3A0E" w14:paraId="5D184B21" w14:textId="77777777" w:rsidTr="00885640">
        <w:trPr>
          <w:trHeight w:val="3080"/>
        </w:trPr>
        <w:tc>
          <w:tcPr>
            <w:tcW w:w="1134" w:type="dxa"/>
            <w:tcBorders>
              <w:top w:val="nil"/>
              <w:left w:val="nil"/>
              <w:bottom w:val="single" w:sz="4" w:space="0" w:color="auto"/>
              <w:right w:val="nil"/>
            </w:tcBorders>
          </w:tcPr>
          <w:p w14:paraId="10E9835B" w14:textId="77777777" w:rsidR="00885640" w:rsidRPr="001E3A0E" w:rsidRDefault="00885640" w:rsidP="00885640">
            <w:pPr>
              <w:spacing w:line="360" w:lineRule="auto"/>
              <w:jc w:val="center"/>
              <w:rPr>
                <w:sz w:val="24"/>
              </w:rPr>
            </w:pPr>
            <w:r w:rsidRPr="001E3A0E">
              <w:rPr>
                <w:sz w:val="24"/>
              </w:rPr>
              <w:t>Ye et al. (ID:2)</w:t>
            </w:r>
          </w:p>
        </w:tc>
        <w:tc>
          <w:tcPr>
            <w:tcW w:w="1843" w:type="dxa"/>
            <w:tcBorders>
              <w:top w:val="nil"/>
              <w:left w:val="nil"/>
              <w:bottom w:val="single" w:sz="4" w:space="0" w:color="auto"/>
              <w:right w:val="nil"/>
            </w:tcBorders>
            <w:shd w:val="clear" w:color="auto" w:fill="auto"/>
            <w:vAlign w:val="center"/>
            <w:hideMark/>
          </w:tcPr>
          <w:p w14:paraId="696102F6" w14:textId="77777777" w:rsidR="00885640" w:rsidRPr="001E3A0E" w:rsidRDefault="00885640" w:rsidP="00885640">
            <w:pPr>
              <w:spacing w:line="360" w:lineRule="auto"/>
              <w:jc w:val="center"/>
              <w:rPr>
                <w:sz w:val="24"/>
              </w:rPr>
            </w:pPr>
            <w:r w:rsidRPr="001E3A0E">
              <w:rPr>
                <w:sz w:val="24"/>
              </w:rPr>
              <w:t xml:space="preserve"> Community-dwelling older adults (&gt;=60) living in the Shanghai community. Two out of 11 streets were selected from each street four communities selected.  </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49BB98F5"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3CE7BB48" w14:textId="77777777" w:rsidR="00885640" w:rsidRPr="001E3A0E" w:rsidRDefault="00885640" w:rsidP="00885640">
            <w:pPr>
              <w:spacing w:line="360" w:lineRule="auto"/>
              <w:jc w:val="center"/>
              <w:rPr>
                <w:sz w:val="24"/>
              </w:rPr>
            </w:pPr>
            <w:r w:rsidRPr="001E3A0E">
              <w:rPr>
                <w:sz w:val="24"/>
              </w:rPr>
              <w:t xml:space="preserve">Participants completed questionnaires </w:t>
            </w:r>
            <w:r w:rsidRPr="001E3A0E">
              <w:rPr>
                <w:sz w:val="24"/>
              </w:rPr>
              <w:br/>
            </w:r>
            <w:r w:rsidRPr="001E3A0E">
              <w:rPr>
                <w:rFonts w:ascii="Segoe UI Symbol" w:hAnsi="Segoe UI Symbol" w:cs="Segoe UI Symbol"/>
                <w:sz w:val="24"/>
              </w:rPr>
              <w:t>⭑</w:t>
            </w:r>
          </w:p>
        </w:tc>
        <w:tc>
          <w:tcPr>
            <w:tcW w:w="1275" w:type="dxa"/>
            <w:tcBorders>
              <w:top w:val="nil"/>
              <w:left w:val="nil"/>
              <w:bottom w:val="single" w:sz="4" w:space="0" w:color="auto"/>
              <w:right w:val="nil"/>
            </w:tcBorders>
            <w:shd w:val="clear" w:color="auto" w:fill="auto"/>
            <w:vAlign w:val="center"/>
            <w:hideMark/>
          </w:tcPr>
          <w:p w14:paraId="21088F8D"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236" w:type="dxa"/>
            <w:tcBorders>
              <w:top w:val="nil"/>
              <w:left w:val="nil"/>
              <w:bottom w:val="single" w:sz="4" w:space="0" w:color="auto"/>
              <w:right w:val="nil"/>
            </w:tcBorders>
            <w:shd w:val="clear" w:color="auto" w:fill="auto"/>
            <w:noWrap/>
            <w:vAlign w:val="bottom"/>
            <w:hideMark/>
          </w:tcPr>
          <w:p w14:paraId="6077D842" w14:textId="77777777" w:rsidR="00885640" w:rsidRPr="001E3A0E" w:rsidRDefault="00885640" w:rsidP="00885640">
            <w:pPr>
              <w:spacing w:line="360" w:lineRule="auto"/>
              <w:rPr>
                <w:sz w:val="24"/>
              </w:rPr>
            </w:pPr>
            <w:r w:rsidRPr="001E3A0E">
              <w:rPr>
                <w:sz w:val="24"/>
              </w:rPr>
              <w:t> </w:t>
            </w:r>
          </w:p>
        </w:tc>
        <w:tc>
          <w:tcPr>
            <w:tcW w:w="2032" w:type="dxa"/>
            <w:tcBorders>
              <w:top w:val="nil"/>
              <w:left w:val="nil"/>
              <w:bottom w:val="single" w:sz="4" w:space="0" w:color="auto"/>
              <w:right w:val="nil"/>
            </w:tcBorders>
            <w:shd w:val="clear" w:color="auto" w:fill="auto"/>
            <w:vAlign w:val="center"/>
            <w:hideMark/>
          </w:tcPr>
          <w:p w14:paraId="70B0331E" w14:textId="77777777" w:rsidR="00885640" w:rsidRPr="001E3A0E" w:rsidRDefault="00885640" w:rsidP="00885640">
            <w:pPr>
              <w:spacing w:line="360" w:lineRule="auto"/>
              <w:jc w:val="center"/>
              <w:rPr>
                <w:sz w:val="24"/>
              </w:rPr>
            </w:pPr>
            <w:r w:rsidRPr="001E3A0E">
              <w:rPr>
                <w:sz w:val="24"/>
              </w:rPr>
              <w:t xml:space="preserve">Controlled for the most important factors: age, gender, education level, marital status; </w:t>
            </w:r>
            <w:r w:rsidRPr="001E3A0E">
              <w:rPr>
                <w:sz w:val="24"/>
              </w:rPr>
              <w:br/>
              <w:t xml:space="preserve">Controlled for additional factors: living alone, having shower facility at home, smoking status, alcohol consumption, reading, playing cards or </w:t>
            </w:r>
            <w:proofErr w:type="spellStart"/>
            <w:r w:rsidRPr="001E3A0E">
              <w:rPr>
                <w:sz w:val="24"/>
              </w:rPr>
              <w:t>mahjong</w:t>
            </w:r>
            <w:proofErr w:type="spellEnd"/>
            <w:r w:rsidRPr="001E3A0E">
              <w:rPr>
                <w:sz w:val="24"/>
              </w:rPr>
              <w:t>, physical exercise, meeting with children and neighbour interaction, social participation</w:t>
            </w:r>
            <w:r w:rsidRPr="001E3A0E">
              <w:rPr>
                <w:sz w:val="24"/>
              </w:rPr>
              <w:br/>
            </w:r>
            <w:r w:rsidRPr="001E3A0E">
              <w:rPr>
                <w:rFonts w:ascii="Segoe UI Symbol" w:hAnsi="Segoe UI Symbol" w:cs="Segoe UI Symbol"/>
                <w:sz w:val="24"/>
              </w:rPr>
              <w:t>⭑⭑</w:t>
            </w:r>
          </w:p>
        </w:tc>
        <w:tc>
          <w:tcPr>
            <w:tcW w:w="284" w:type="dxa"/>
            <w:tcBorders>
              <w:top w:val="nil"/>
              <w:left w:val="nil"/>
              <w:bottom w:val="single" w:sz="4" w:space="0" w:color="auto"/>
              <w:right w:val="nil"/>
            </w:tcBorders>
            <w:shd w:val="clear" w:color="auto" w:fill="auto"/>
            <w:vAlign w:val="center"/>
            <w:hideMark/>
          </w:tcPr>
          <w:p w14:paraId="32A5E941" w14:textId="77777777" w:rsidR="00885640" w:rsidRPr="001E3A0E" w:rsidRDefault="00885640" w:rsidP="00885640">
            <w:pPr>
              <w:spacing w:line="360" w:lineRule="auto"/>
              <w:jc w:val="center"/>
              <w:rPr>
                <w:sz w:val="24"/>
              </w:rPr>
            </w:pPr>
            <w:r w:rsidRPr="001E3A0E">
              <w:rPr>
                <w:sz w:val="24"/>
              </w:rPr>
              <w:t> </w:t>
            </w:r>
          </w:p>
        </w:tc>
        <w:tc>
          <w:tcPr>
            <w:tcW w:w="1134" w:type="dxa"/>
            <w:tcBorders>
              <w:top w:val="nil"/>
              <w:left w:val="nil"/>
              <w:bottom w:val="single" w:sz="4" w:space="0" w:color="auto"/>
              <w:right w:val="nil"/>
            </w:tcBorders>
            <w:shd w:val="clear" w:color="auto" w:fill="auto"/>
            <w:vAlign w:val="center"/>
            <w:hideMark/>
          </w:tcPr>
          <w:p w14:paraId="21F2370F" w14:textId="77777777" w:rsidR="00885640" w:rsidRPr="001E3A0E" w:rsidRDefault="00885640" w:rsidP="00885640">
            <w:pPr>
              <w:spacing w:line="360" w:lineRule="auto"/>
              <w:jc w:val="center"/>
              <w:rPr>
                <w:sz w:val="24"/>
              </w:rPr>
            </w:pPr>
            <w:r w:rsidRPr="001E3A0E">
              <w:rPr>
                <w:sz w:val="24"/>
              </w:rPr>
              <w:t>Self-report and record linkage</w:t>
            </w:r>
            <w:r w:rsidRPr="001E3A0E">
              <w:rPr>
                <w:sz w:val="24"/>
              </w:rPr>
              <w:br/>
            </w:r>
            <w:r w:rsidRPr="001E3A0E">
              <w:rPr>
                <w:rFonts w:ascii="Segoe UI Symbol" w:hAnsi="Segoe UI Symbol" w:cs="Segoe UI Symbol"/>
                <w:sz w:val="24"/>
              </w:rPr>
              <w:t>⭑</w:t>
            </w:r>
          </w:p>
        </w:tc>
        <w:tc>
          <w:tcPr>
            <w:tcW w:w="992" w:type="dxa"/>
            <w:tcBorders>
              <w:top w:val="nil"/>
              <w:left w:val="nil"/>
              <w:bottom w:val="single" w:sz="4" w:space="0" w:color="auto"/>
              <w:right w:val="nil"/>
            </w:tcBorders>
            <w:shd w:val="clear" w:color="auto" w:fill="auto"/>
            <w:vAlign w:val="center"/>
            <w:hideMark/>
          </w:tcPr>
          <w:p w14:paraId="6437091F"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709" w:type="dxa"/>
            <w:tcBorders>
              <w:top w:val="nil"/>
              <w:left w:val="nil"/>
              <w:bottom w:val="single" w:sz="4" w:space="0" w:color="auto"/>
              <w:right w:val="nil"/>
            </w:tcBorders>
            <w:shd w:val="clear" w:color="auto" w:fill="auto"/>
            <w:vAlign w:val="center"/>
            <w:hideMark/>
          </w:tcPr>
          <w:p w14:paraId="2E65DFD3" w14:textId="77777777" w:rsidR="00885640" w:rsidRPr="001E3A0E" w:rsidRDefault="00885640" w:rsidP="00885640">
            <w:pPr>
              <w:spacing w:line="360" w:lineRule="auto"/>
              <w:jc w:val="center"/>
              <w:rPr>
                <w:sz w:val="24"/>
              </w:rPr>
            </w:pPr>
            <w:r w:rsidRPr="001E3A0E">
              <w:rPr>
                <w:sz w:val="24"/>
              </w:rPr>
              <w:t>99% participated at 2-year follow up</w:t>
            </w:r>
            <w:r w:rsidRPr="001E3A0E">
              <w:rPr>
                <w:sz w:val="24"/>
              </w:rPr>
              <w:br/>
            </w:r>
            <w:r w:rsidRPr="001E3A0E">
              <w:rPr>
                <w:rFonts w:ascii="Segoe UI Symbol" w:hAnsi="Segoe UI Symbol" w:cs="Segoe UI Symbol"/>
                <w:sz w:val="24"/>
              </w:rPr>
              <w:t>⭑</w:t>
            </w:r>
          </w:p>
        </w:tc>
        <w:tc>
          <w:tcPr>
            <w:tcW w:w="854" w:type="dxa"/>
            <w:tcBorders>
              <w:top w:val="nil"/>
              <w:left w:val="nil"/>
              <w:bottom w:val="single" w:sz="4" w:space="0" w:color="auto"/>
              <w:right w:val="nil"/>
            </w:tcBorders>
            <w:shd w:val="clear" w:color="auto" w:fill="auto"/>
            <w:noWrap/>
            <w:vAlign w:val="center"/>
            <w:hideMark/>
          </w:tcPr>
          <w:p w14:paraId="15487B45"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556" w:type="dxa"/>
            <w:tcBorders>
              <w:top w:val="nil"/>
              <w:left w:val="nil"/>
              <w:bottom w:val="single" w:sz="4" w:space="0" w:color="auto"/>
              <w:right w:val="nil"/>
            </w:tcBorders>
          </w:tcPr>
          <w:p w14:paraId="18ADC2D6" w14:textId="77777777" w:rsidR="00885640" w:rsidRPr="001E3A0E" w:rsidRDefault="00885640" w:rsidP="00885640">
            <w:pPr>
              <w:spacing w:line="360" w:lineRule="auto"/>
              <w:jc w:val="center"/>
              <w:rPr>
                <w:sz w:val="24"/>
              </w:rPr>
            </w:pPr>
            <w:r w:rsidRPr="001E3A0E">
              <w:rPr>
                <w:sz w:val="24"/>
              </w:rPr>
              <w:t>Good</w:t>
            </w:r>
          </w:p>
        </w:tc>
      </w:tr>
      <w:tr w:rsidR="00885640" w:rsidRPr="001E3A0E" w14:paraId="3295064D" w14:textId="77777777" w:rsidTr="00885640">
        <w:trPr>
          <w:trHeight w:val="2520"/>
        </w:trPr>
        <w:tc>
          <w:tcPr>
            <w:tcW w:w="1134" w:type="dxa"/>
            <w:tcBorders>
              <w:top w:val="nil"/>
              <w:left w:val="nil"/>
              <w:bottom w:val="single" w:sz="4" w:space="0" w:color="auto"/>
              <w:right w:val="nil"/>
            </w:tcBorders>
          </w:tcPr>
          <w:p w14:paraId="08072475" w14:textId="77777777" w:rsidR="00885640" w:rsidRPr="001E3A0E" w:rsidRDefault="00885640" w:rsidP="00885640">
            <w:pPr>
              <w:spacing w:line="360" w:lineRule="auto"/>
              <w:jc w:val="center"/>
              <w:rPr>
                <w:sz w:val="24"/>
              </w:rPr>
            </w:pPr>
            <w:r w:rsidRPr="001E3A0E">
              <w:rPr>
                <w:sz w:val="24"/>
              </w:rPr>
              <w:t>Liu et al. (ID:3)</w:t>
            </w:r>
          </w:p>
        </w:tc>
        <w:tc>
          <w:tcPr>
            <w:tcW w:w="1843" w:type="dxa"/>
            <w:tcBorders>
              <w:top w:val="nil"/>
              <w:left w:val="nil"/>
              <w:bottom w:val="single" w:sz="4" w:space="0" w:color="auto"/>
              <w:right w:val="nil"/>
            </w:tcBorders>
            <w:shd w:val="clear" w:color="auto" w:fill="auto"/>
            <w:vAlign w:val="center"/>
            <w:hideMark/>
          </w:tcPr>
          <w:p w14:paraId="150E4C76" w14:textId="77777777" w:rsidR="00885640" w:rsidRPr="001E3A0E" w:rsidRDefault="00885640" w:rsidP="00885640">
            <w:pPr>
              <w:spacing w:line="360" w:lineRule="auto"/>
              <w:jc w:val="center"/>
              <w:rPr>
                <w:sz w:val="24"/>
              </w:rPr>
            </w:pPr>
            <w:r w:rsidRPr="001E3A0E">
              <w:rPr>
                <w:sz w:val="24"/>
              </w:rPr>
              <w:t xml:space="preserve"> Community-dwelling oldest old (&gt;=80, but &lt;100) from half of the counties and cities selected in 22 provinces (out of 23) in China.</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609807EF"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276" w:type="dxa"/>
            <w:tcBorders>
              <w:top w:val="nil"/>
              <w:left w:val="nil"/>
              <w:bottom w:val="single" w:sz="4" w:space="0" w:color="auto"/>
              <w:right w:val="nil"/>
            </w:tcBorders>
            <w:shd w:val="clear" w:color="auto" w:fill="auto"/>
            <w:vAlign w:val="center"/>
            <w:hideMark/>
          </w:tcPr>
          <w:p w14:paraId="43753716" w14:textId="77777777" w:rsidR="00885640" w:rsidRPr="001E3A0E" w:rsidRDefault="00885640" w:rsidP="00885640">
            <w:pPr>
              <w:spacing w:line="360" w:lineRule="auto"/>
              <w:jc w:val="center"/>
              <w:rPr>
                <w:sz w:val="24"/>
              </w:rPr>
            </w:pPr>
            <w:r w:rsidRPr="001E3A0E">
              <w:rPr>
                <w:sz w:val="24"/>
              </w:rPr>
              <w:t xml:space="preserve">Participants were interviewed </w:t>
            </w:r>
            <w:r w:rsidRPr="001E3A0E">
              <w:rPr>
                <w:sz w:val="24"/>
              </w:rPr>
              <w:br/>
            </w:r>
            <w:r w:rsidRPr="001E3A0E">
              <w:rPr>
                <w:rFonts w:ascii="Segoe UI Symbol" w:hAnsi="Segoe UI Symbol" w:cs="Segoe UI Symbol"/>
                <w:sz w:val="24"/>
              </w:rPr>
              <w:t>⭑</w:t>
            </w:r>
          </w:p>
        </w:tc>
        <w:tc>
          <w:tcPr>
            <w:tcW w:w="1275" w:type="dxa"/>
            <w:tcBorders>
              <w:top w:val="nil"/>
              <w:left w:val="nil"/>
              <w:bottom w:val="single" w:sz="4" w:space="0" w:color="auto"/>
              <w:right w:val="nil"/>
            </w:tcBorders>
            <w:shd w:val="clear" w:color="auto" w:fill="auto"/>
            <w:vAlign w:val="center"/>
            <w:hideMark/>
          </w:tcPr>
          <w:p w14:paraId="02CF29FA"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236" w:type="dxa"/>
            <w:tcBorders>
              <w:top w:val="nil"/>
              <w:left w:val="nil"/>
              <w:bottom w:val="single" w:sz="4" w:space="0" w:color="auto"/>
              <w:right w:val="nil"/>
            </w:tcBorders>
            <w:shd w:val="clear" w:color="auto" w:fill="auto"/>
            <w:noWrap/>
            <w:vAlign w:val="bottom"/>
            <w:hideMark/>
          </w:tcPr>
          <w:p w14:paraId="608A0D45" w14:textId="77777777" w:rsidR="00885640" w:rsidRPr="001E3A0E" w:rsidRDefault="00885640" w:rsidP="00885640">
            <w:pPr>
              <w:spacing w:line="360" w:lineRule="auto"/>
              <w:rPr>
                <w:sz w:val="24"/>
              </w:rPr>
            </w:pPr>
            <w:r w:rsidRPr="001E3A0E">
              <w:rPr>
                <w:sz w:val="24"/>
              </w:rPr>
              <w:t> </w:t>
            </w:r>
          </w:p>
        </w:tc>
        <w:tc>
          <w:tcPr>
            <w:tcW w:w="2032" w:type="dxa"/>
            <w:tcBorders>
              <w:top w:val="nil"/>
              <w:left w:val="nil"/>
              <w:bottom w:val="single" w:sz="4" w:space="0" w:color="auto"/>
              <w:right w:val="nil"/>
            </w:tcBorders>
            <w:shd w:val="clear" w:color="auto" w:fill="auto"/>
            <w:vAlign w:val="center"/>
            <w:hideMark/>
          </w:tcPr>
          <w:p w14:paraId="2B2C0BC7" w14:textId="77777777" w:rsidR="00885640" w:rsidRPr="001E3A0E" w:rsidRDefault="00885640" w:rsidP="00885640">
            <w:pPr>
              <w:spacing w:line="360" w:lineRule="auto"/>
              <w:jc w:val="center"/>
              <w:rPr>
                <w:sz w:val="24"/>
              </w:rPr>
            </w:pPr>
            <w:r w:rsidRPr="001E3A0E">
              <w:rPr>
                <w:sz w:val="24"/>
              </w:rPr>
              <w:t>Controlled for the most important factors: age, gender, education level, marital status, ethnicity, residence;</w:t>
            </w:r>
            <w:r w:rsidRPr="001E3A0E">
              <w:rPr>
                <w:sz w:val="24"/>
              </w:rPr>
              <w:br/>
              <w:t>Controlled for additional factors:</w:t>
            </w:r>
            <w:r w:rsidRPr="001E3A0E">
              <w:rPr>
                <w:sz w:val="24"/>
              </w:rPr>
              <w:br/>
              <w:t>primary lifetime occupation, smoking status, regular exercise, economic independence, adequate medication</w:t>
            </w:r>
            <w:r w:rsidRPr="001E3A0E">
              <w:rPr>
                <w:sz w:val="24"/>
              </w:rPr>
              <w:br/>
            </w:r>
            <w:r w:rsidRPr="001E3A0E">
              <w:rPr>
                <w:rFonts w:ascii="Segoe UI Symbol" w:hAnsi="Segoe UI Symbol" w:cs="Segoe UI Symbol"/>
                <w:sz w:val="24"/>
              </w:rPr>
              <w:t>⭑⭑</w:t>
            </w:r>
          </w:p>
        </w:tc>
        <w:tc>
          <w:tcPr>
            <w:tcW w:w="284" w:type="dxa"/>
            <w:tcBorders>
              <w:top w:val="nil"/>
              <w:left w:val="nil"/>
              <w:bottom w:val="single" w:sz="4" w:space="0" w:color="auto"/>
              <w:right w:val="nil"/>
            </w:tcBorders>
            <w:shd w:val="clear" w:color="auto" w:fill="auto"/>
            <w:vAlign w:val="center"/>
            <w:hideMark/>
          </w:tcPr>
          <w:p w14:paraId="53CC9780" w14:textId="77777777" w:rsidR="00885640" w:rsidRPr="001E3A0E" w:rsidRDefault="00885640" w:rsidP="00885640">
            <w:pPr>
              <w:spacing w:line="360" w:lineRule="auto"/>
              <w:jc w:val="center"/>
              <w:rPr>
                <w:sz w:val="24"/>
              </w:rPr>
            </w:pPr>
            <w:r w:rsidRPr="001E3A0E">
              <w:rPr>
                <w:sz w:val="24"/>
              </w:rPr>
              <w:t> </w:t>
            </w:r>
          </w:p>
        </w:tc>
        <w:tc>
          <w:tcPr>
            <w:tcW w:w="1134" w:type="dxa"/>
            <w:tcBorders>
              <w:top w:val="nil"/>
              <w:left w:val="nil"/>
              <w:bottom w:val="single" w:sz="4" w:space="0" w:color="auto"/>
              <w:right w:val="nil"/>
            </w:tcBorders>
            <w:shd w:val="clear" w:color="auto" w:fill="auto"/>
            <w:vAlign w:val="center"/>
            <w:hideMark/>
          </w:tcPr>
          <w:p w14:paraId="6ADCEAE8" w14:textId="77777777" w:rsidR="00885640" w:rsidRPr="001E3A0E" w:rsidRDefault="00885640" w:rsidP="00885640">
            <w:pPr>
              <w:spacing w:line="360" w:lineRule="auto"/>
              <w:jc w:val="center"/>
              <w:rPr>
                <w:sz w:val="24"/>
              </w:rPr>
            </w:pPr>
            <w:r w:rsidRPr="001E3A0E">
              <w:rPr>
                <w:sz w:val="24"/>
              </w:rPr>
              <w:t>Self-report and record linkage</w:t>
            </w:r>
            <w:r w:rsidRPr="001E3A0E">
              <w:rPr>
                <w:sz w:val="24"/>
              </w:rPr>
              <w:br/>
            </w:r>
            <w:r w:rsidRPr="001E3A0E">
              <w:rPr>
                <w:rFonts w:ascii="Segoe UI Symbol" w:hAnsi="Segoe UI Symbol" w:cs="Segoe UI Symbol"/>
                <w:sz w:val="24"/>
              </w:rPr>
              <w:t>⭑</w:t>
            </w:r>
          </w:p>
        </w:tc>
        <w:tc>
          <w:tcPr>
            <w:tcW w:w="992" w:type="dxa"/>
            <w:tcBorders>
              <w:top w:val="nil"/>
              <w:left w:val="nil"/>
              <w:bottom w:val="single" w:sz="4" w:space="0" w:color="auto"/>
              <w:right w:val="nil"/>
            </w:tcBorders>
            <w:shd w:val="clear" w:color="auto" w:fill="auto"/>
            <w:vAlign w:val="center"/>
            <w:hideMark/>
          </w:tcPr>
          <w:p w14:paraId="382CA537"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709" w:type="dxa"/>
            <w:tcBorders>
              <w:top w:val="nil"/>
              <w:left w:val="nil"/>
              <w:bottom w:val="single" w:sz="4" w:space="0" w:color="auto"/>
              <w:right w:val="nil"/>
            </w:tcBorders>
            <w:shd w:val="clear" w:color="auto" w:fill="auto"/>
            <w:vAlign w:val="center"/>
            <w:hideMark/>
          </w:tcPr>
          <w:p w14:paraId="23CB0E37" w14:textId="77777777" w:rsidR="00885640" w:rsidRPr="001E3A0E" w:rsidRDefault="00885640" w:rsidP="00885640">
            <w:pPr>
              <w:spacing w:line="360" w:lineRule="auto"/>
              <w:jc w:val="center"/>
              <w:rPr>
                <w:sz w:val="24"/>
              </w:rPr>
            </w:pPr>
            <w:r w:rsidRPr="001E3A0E">
              <w:rPr>
                <w:sz w:val="24"/>
              </w:rPr>
              <w:t>87% participated at 3-year follow up</w:t>
            </w:r>
            <w:r w:rsidRPr="001E3A0E">
              <w:rPr>
                <w:sz w:val="24"/>
              </w:rPr>
              <w:br/>
            </w:r>
            <w:r w:rsidRPr="001E3A0E">
              <w:rPr>
                <w:rFonts w:ascii="Segoe UI Symbol" w:hAnsi="Segoe UI Symbol" w:cs="Segoe UI Symbol"/>
                <w:sz w:val="24"/>
              </w:rPr>
              <w:t>⭑</w:t>
            </w:r>
          </w:p>
        </w:tc>
        <w:tc>
          <w:tcPr>
            <w:tcW w:w="854" w:type="dxa"/>
            <w:tcBorders>
              <w:top w:val="nil"/>
              <w:left w:val="nil"/>
              <w:bottom w:val="single" w:sz="4" w:space="0" w:color="auto"/>
              <w:right w:val="nil"/>
            </w:tcBorders>
            <w:shd w:val="clear" w:color="auto" w:fill="auto"/>
            <w:noWrap/>
            <w:vAlign w:val="center"/>
            <w:hideMark/>
          </w:tcPr>
          <w:p w14:paraId="3FED28A6" w14:textId="77777777" w:rsidR="00885640" w:rsidRPr="001E3A0E" w:rsidRDefault="00885640" w:rsidP="00885640">
            <w:pPr>
              <w:spacing w:line="360" w:lineRule="auto"/>
              <w:jc w:val="center"/>
              <w:rPr>
                <w:sz w:val="24"/>
              </w:rPr>
            </w:pPr>
            <w:r w:rsidRPr="001E3A0E">
              <w:rPr>
                <w:sz w:val="24"/>
              </w:rPr>
              <w:t xml:space="preserve">Yes </w:t>
            </w:r>
            <w:r w:rsidRPr="001E3A0E">
              <w:rPr>
                <w:sz w:val="24"/>
              </w:rPr>
              <w:br/>
            </w:r>
            <w:r w:rsidRPr="001E3A0E">
              <w:rPr>
                <w:rFonts w:ascii="Segoe UI Symbol" w:hAnsi="Segoe UI Symbol" w:cs="Segoe UI Symbol"/>
                <w:sz w:val="24"/>
              </w:rPr>
              <w:t>⭑</w:t>
            </w:r>
          </w:p>
        </w:tc>
        <w:tc>
          <w:tcPr>
            <w:tcW w:w="1556" w:type="dxa"/>
            <w:tcBorders>
              <w:top w:val="nil"/>
              <w:left w:val="nil"/>
              <w:bottom w:val="single" w:sz="4" w:space="0" w:color="auto"/>
              <w:right w:val="nil"/>
            </w:tcBorders>
          </w:tcPr>
          <w:p w14:paraId="083D4BE3" w14:textId="77777777" w:rsidR="00885640" w:rsidRPr="001E3A0E" w:rsidRDefault="00885640" w:rsidP="00885640">
            <w:pPr>
              <w:spacing w:line="360" w:lineRule="auto"/>
              <w:jc w:val="center"/>
              <w:rPr>
                <w:sz w:val="24"/>
              </w:rPr>
            </w:pPr>
            <w:r w:rsidRPr="001E3A0E">
              <w:rPr>
                <w:sz w:val="24"/>
              </w:rPr>
              <w:t>Good</w:t>
            </w:r>
          </w:p>
        </w:tc>
      </w:tr>
    </w:tbl>
    <w:p w14:paraId="1A1F92B7" w14:textId="77777777" w:rsidR="00885640" w:rsidRPr="001E3A0E" w:rsidRDefault="00885640" w:rsidP="00885640">
      <w:pPr>
        <w:rPr>
          <w:sz w:val="24"/>
        </w:rPr>
      </w:pPr>
      <w:r w:rsidRPr="001E3A0E">
        <w:rPr>
          <w:sz w:val="24"/>
        </w:rPr>
        <w:t>Thresholds for converting the Newcastle-Ottawa scales to AHRQ standards (good, fair, and poor)</w:t>
      </w:r>
    </w:p>
    <w:p w14:paraId="484C28AF" w14:textId="77777777" w:rsidR="00885640" w:rsidRPr="001E3A0E" w:rsidRDefault="00885640" w:rsidP="00885640">
      <w:pPr>
        <w:rPr>
          <w:sz w:val="24"/>
        </w:rPr>
      </w:pPr>
      <w:r w:rsidRPr="001E3A0E">
        <w:rPr>
          <w:sz w:val="24"/>
        </w:rPr>
        <w:t xml:space="preserve">Good quality: 3 or 4 stars in selection domain AND 1 or 2 stars in comparability domain AND 2 or 3 stars in outcome/exposure domain </w:t>
      </w:r>
    </w:p>
    <w:p w14:paraId="2CC18FE0" w14:textId="77777777" w:rsidR="00885640" w:rsidRPr="001E3A0E" w:rsidRDefault="00885640" w:rsidP="00885640">
      <w:pPr>
        <w:rPr>
          <w:sz w:val="24"/>
        </w:rPr>
      </w:pPr>
      <w:r w:rsidRPr="001E3A0E">
        <w:rPr>
          <w:sz w:val="24"/>
        </w:rPr>
        <w:t xml:space="preserve">Fair quality: 2 stars in selection domain AND 1 or 2 stars in comparability domain AND 2 or 3 stars in outcome/exposure domain </w:t>
      </w:r>
    </w:p>
    <w:p w14:paraId="18B95719" w14:textId="77777777" w:rsidR="00885640" w:rsidRPr="001E3A0E" w:rsidRDefault="00885640" w:rsidP="00885640">
      <w:pPr>
        <w:rPr>
          <w:sz w:val="24"/>
        </w:rPr>
      </w:pPr>
      <w:r w:rsidRPr="001E3A0E">
        <w:rPr>
          <w:sz w:val="24"/>
        </w:rPr>
        <w:t>Poor quality: 0 or 1 star in selection domain OR 0 stars in comparability domain OR 0 or 1 stars in outcome/exposure domain</w:t>
      </w:r>
    </w:p>
    <w:p w14:paraId="194F21F1" w14:textId="77777777" w:rsidR="00885640" w:rsidRPr="001E3A0E" w:rsidRDefault="00885640" w:rsidP="00885640">
      <w:pPr>
        <w:rPr>
          <w:sz w:val="24"/>
        </w:rPr>
      </w:pPr>
    </w:p>
    <w:p w14:paraId="0BD5D573" w14:textId="77777777" w:rsidR="00885640" w:rsidRPr="001E3A0E" w:rsidRDefault="00885640" w:rsidP="00885640">
      <w:pPr>
        <w:rPr>
          <w:sz w:val="24"/>
        </w:rPr>
        <w:sectPr w:rsidR="00885640" w:rsidRPr="001E3A0E" w:rsidSect="00885640">
          <w:pgSz w:w="16840" w:h="11900" w:orient="landscape"/>
          <w:pgMar w:top="1440" w:right="1440" w:bottom="1440" w:left="1440" w:header="708" w:footer="708" w:gutter="0"/>
          <w:cols w:space="708"/>
          <w:docGrid w:linePitch="360"/>
        </w:sectPr>
      </w:pPr>
    </w:p>
    <w:p w14:paraId="256A476A" w14:textId="77777777" w:rsidR="00885640" w:rsidRPr="001E3A0E" w:rsidRDefault="00885640" w:rsidP="00885640">
      <w:pPr>
        <w:rPr>
          <w:sz w:val="24"/>
        </w:rPr>
      </w:pPr>
    </w:p>
    <w:p w14:paraId="79426E8B" w14:textId="77777777" w:rsidR="00885640" w:rsidRPr="001E3A0E" w:rsidRDefault="00885640" w:rsidP="00885640">
      <w:pPr>
        <w:rPr>
          <w:sz w:val="24"/>
        </w:rPr>
      </w:pPr>
    </w:p>
    <w:p w14:paraId="0497BDD1" w14:textId="77777777" w:rsidR="00885640" w:rsidRPr="001E3A0E" w:rsidRDefault="00885640" w:rsidP="00885640">
      <w:pPr>
        <w:rPr>
          <w:sz w:val="24"/>
        </w:rPr>
      </w:pPr>
      <w:r w:rsidRPr="001E3A0E">
        <w:rPr>
          <w:sz w:val="24"/>
        </w:rPr>
        <w:t>References</w:t>
      </w:r>
    </w:p>
    <w:p w14:paraId="4C599D05" w14:textId="77777777" w:rsidR="00885640" w:rsidRPr="001E3A0E" w:rsidRDefault="00885640" w:rsidP="00885640">
      <w:pPr>
        <w:pStyle w:val="EndNoteCategoryHeading"/>
        <w:rPr>
          <w:noProof/>
        </w:rPr>
      </w:pPr>
    </w:p>
    <w:p w14:paraId="24E9951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ALBERTS, S. C., ARCHIE, E. A., GESQUIERE, L. R., ALTMANN, J., VAUPEL, J. W. &amp; CHRISTENSEN, K. 2014. The male-female health-survival paradox: a comparative perspective on sex differences in aging and mortality. </w:t>
      </w:r>
      <w:r w:rsidRPr="001E3A0E">
        <w:rPr>
          <w:rFonts w:ascii="Times New Roman" w:hAnsi="Times New Roman" w:cs="Times New Roman"/>
          <w:i/>
          <w:szCs w:val="24"/>
        </w:rPr>
        <w:t>Sociality, hierarchy, health: comparative biodemography: a collection of papers.</w:t>
      </w:r>
      <w:r w:rsidRPr="001E3A0E">
        <w:rPr>
          <w:rFonts w:ascii="Times New Roman" w:hAnsi="Times New Roman" w:cs="Times New Roman"/>
          <w:szCs w:val="24"/>
        </w:rPr>
        <w:t xml:space="preserve"> National Academies Press (US).</w:t>
      </w:r>
    </w:p>
    <w:p w14:paraId="3009901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AMBLAS-NOVELLAS, J., MURRAY, S. A., OLLER, R., TORNE, A., MARTORI, J. C., MOINE, S., LATORRE-VALLBONA, N., ESPAULELLA, J., SANTAEUGENIA, S. J. &amp; GOMEZ-BATISTE, X. 2021. Frailty degree and illness trajectories in older people towards the end-of-life: a prospective observational study. </w:t>
      </w:r>
      <w:r w:rsidRPr="001E3A0E">
        <w:rPr>
          <w:rFonts w:ascii="Times New Roman" w:hAnsi="Times New Roman" w:cs="Times New Roman"/>
          <w:i/>
          <w:szCs w:val="24"/>
        </w:rPr>
        <w:t>Bmj Open,</w:t>
      </w:r>
      <w:r w:rsidRPr="001E3A0E">
        <w:rPr>
          <w:rFonts w:ascii="Times New Roman" w:hAnsi="Times New Roman" w:cs="Times New Roman"/>
          <w:szCs w:val="24"/>
        </w:rPr>
        <w:t xml:space="preserve"> 11</w:t>
      </w:r>
      <w:r w:rsidRPr="001E3A0E">
        <w:rPr>
          <w:rFonts w:ascii="Times New Roman" w:hAnsi="Times New Roman" w:cs="Times New Roman"/>
          <w:b/>
          <w:szCs w:val="24"/>
        </w:rPr>
        <w:t>,</w:t>
      </w:r>
      <w:r w:rsidRPr="001E3A0E">
        <w:rPr>
          <w:rFonts w:ascii="Times New Roman" w:hAnsi="Times New Roman" w:cs="Times New Roman"/>
          <w:szCs w:val="24"/>
        </w:rPr>
        <w:t xml:space="preserve"> 8.</w:t>
      </w:r>
    </w:p>
    <w:p w14:paraId="79EA6C91"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ARMSTRONG, J. J., MITNITSKI, A., ANDREW, M. K., LAUNER, L. J., WHITE, L. R. &amp; ROCKWOOD, K. 2015a. Cumulative impact of health deficits, social vulnerabilities, and protective factors on cognitive dynamics in late life: a multistate modeling approach. </w:t>
      </w:r>
      <w:r w:rsidRPr="001E3A0E">
        <w:rPr>
          <w:rFonts w:ascii="Times New Roman" w:hAnsi="Times New Roman" w:cs="Times New Roman"/>
          <w:i/>
          <w:szCs w:val="24"/>
        </w:rPr>
        <w:t>Alzheimer's Research &amp; Therapy,</w:t>
      </w:r>
      <w:r w:rsidRPr="001E3A0E">
        <w:rPr>
          <w:rFonts w:ascii="Times New Roman" w:hAnsi="Times New Roman" w:cs="Times New Roman"/>
          <w:szCs w:val="24"/>
        </w:rPr>
        <w:t xml:space="preserve"> 7</w:t>
      </w:r>
      <w:r w:rsidRPr="001E3A0E">
        <w:rPr>
          <w:rFonts w:ascii="Times New Roman" w:hAnsi="Times New Roman" w:cs="Times New Roman"/>
          <w:b/>
          <w:szCs w:val="24"/>
        </w:rPr>
        <w:t>,</w:t>
      </w:r>
      <w:r w:rsidRPr="001E3A0E">
        <w:rPr>
          <w:rFonts w:ascii="Times New Roman" w:hAnsi="Times New Roman" w:cs="Times New Roman"/>
          <w:szCs w:val="24"/>
        </w:rPr>
        <w:t xml:space="preserve"> 38.</w:t>
      </w:r>
    </w:p>
    <w:p w14:paraId="3153F42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ARMSTRONG, J. J., MITNITSKI, A., LAUNER, L. J., WHITE, L. R. &amp; ROCKWOOD, K. 2015b. Frailty in the Honolulu-Asia Aging Study: Deficit Accumulation in a Male Cohort Followed to 90% Mortality. </w:t>
      </w:r>
      <w:r w:rsidRPr="001E3A0E">
        <w:rPr>
          <w:rFonts w:ascii="Times New Roman" w:hAnsi="Times New Roman" w:cs="Times New Roman"/>
          <w:i/>
          <w:szCs w:val="24"/>
        </w:rPr>
        <w:t>Journals of Gerontology Series a-Biological Sciences and Medical Sciences,</w:t>
      </w:r>
      <w:r w:rsidRPr="001E3A0E">
        <w:rPr>
          <w:rFonts w:ascii="Times New Roman" w:hAnsi="Times New Roman" w:cs="Times New Roman"/>
          <w:szCs w:val="24"/>
        </w:rPr>
        <w:t xml:space="preserve"> 70</w:t>
      </w:r>
      <w:r w:rsidRPr="001E3A0E">
        <w:rPr>
          <w:rFonts w:ascii="Times New Roman" w:hAnsi="Times New Roman" w:cs="Times New Roman"/>
          <w:b/>
          <w:szCs w:val="24"/>
        </w:rPr>
        <w:t>,</w:t>
      </w:r>
      <w:r w:rsidRPr="001E3A0E">
        <w:rPr>
          <w:rFonts w:ascii="Times New Roman" w:hAnsi="Times New Roman" w:cs="Times New Roman"/>
          <w:szCs w:val="24"/>
        </w:rPr>
        <w:t xml:space="preserve"> 125-131.</w:t>
      </w:r>
    </w:p>
    <w:p w14:paraId="7CCB6C2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BARTLEY, M. M., GEDA, Y. E., CHRISTIANSON, T. J. H., PANKRATZ, V. S., ROBERTS, R. O. &amp; PETERSEN, R. C. 2016. Frailty and Mortality Outcomes in Cognitively Normal Older People: Sex Differences in a Population-Based Study. </w:t>
      </w:r>
      <w:r w:rsidRPr="001E3A0E">
        <w:rPr>
          <w:rFonts w:ascii="Times New Roman" w:hAnsi="Times New Roman" w:cs="Times New Roman"/>
          <w:i/>
          <w:szCs w:val="24"/>
        </w:rPr>
        <w:t>Journal of the American Geriatrics Society,</w:t>
      </w:r>
      <w:r w:rsidRPr="001E3A0E">
        <w:rPr>
          <w:rFonts w:ascii="Times New Roman" w:hAnsi="Times New Roman" w:cs="Times New Roman"/>
          <w:szCs w:val="24"/>
        </w:rPr>
        <w:t xml:space="preserve"> 64</w:t>
      </w:r>
      <w:r w:rsidRPr="001E3A0E">
        <w:rPr>
          <w:rFonts w:ascii="Times New Roman" w:hAnsi="Times New Roman" w:cs="Times New Roman"/>
          <w:b/>
          <w:szCs w:val="24"/>
        </w:rPr>
        <w:t>,</w:t>
      </w:r>
      <w:r w:rsidRPr="001E3A0E">
        <w:rPr>
          <w:rFonts w:ascii="Times New Roman" w:hAnsi="Times New Roman" w:cs="Times New Roman"/>
          <w:szCs w:val="24"/>
        </w:rPr>
        <w:t xml:space="preserve"> 132-137.</w:t>
      </w:r>
    </w:p>
    <w:p w14:paraId="23007C5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BARTOSCH, P., MCGUIGAN, F. E. &amp; AKESSON, K. E. 2018. Progression of frailty and prevalence of osteoporosis in a community cohort of older women-a 10-year longitudinal study. </w:t>
      </w:r>
      <w:r w:rsidRPr="001E3A0E">
        <w:rPr>
          <w:rFonts w:ascii="Times New Roman" w:hAnsi="Times New Roman" w:cs="Times New Roman"/>
          <w:i/>
          <w:szCs w:val="24"/>
        </w:rPr>
        <w:t>Osteoporosis International,</w:t>
      </w:r>
      <w:r w:rsidRPr="001E3A0E">
        <w:rPr>
          <w:rFonts w:ascii="Times New Roman" w:hAnsi="Times New Roman" w:cs="Times New Roman"/>
          <w:szCs w:val="24"/>
        </w:rPr>
        <w:t xml:space="preserve"> 29</w:t>
      </w:r>
      <w:r w:rsidRPr="001E3A0E">
        <w:rPr>
          <w:rFonts w:ascii="Times New Roman" w:hAnsi="Times New Roman" w:cs="Times New Roman"/>
          <w:b/>
          <w:szCs w:val="24"/>
        </w:rPr>
        <w:t>,</w:t>
      </w:r>
      <w:r w:rsidRPr="001E3A0E">
        <w:rPr>
          <w:rFonts w:ascii="Times New Roman" w:hAnsi="Times New Roman" w:cs="Times New Roman"/>
          <w:szCs w:val="24"/>
        </w:rPr>
        <w:t xml:space="preserve"> 2191-2199.</w:t>
      </w:r>
    </w:p>
    <w:p w14:paraId="64AEF8B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BLODGETT, J. M., THEOU, O., HOWLETT, S. E. &amp; ROCKWOOD, K. 2017. A frailty index from common clinical and laboratory tests predicts increased risk of death across the life course. </w:t>
      </w:r>
      <w:r w:rsidRPr="001E3A0E">
        <w:rPr>
          <w:rFonts w:ascii="Times New Roman" w:hAnsi="Times New Roman" w:cs="Times New Roman"/>
          <w:i/>
          <w:szCs w:val="24"/>
        </w:rPr>
        <w:t>GeroScience,</w:t>
      </w:r>
      <w:r w:rsidRPr="001E3A0E">
        <w:rPr>
          <w:rFonts w:ascii="Times New Roman" w:hAnsi="Times New Roman" w:cs="Times New Roman"/>
          <w:szCs w:val="24"/>
        </w:rPr>
        <w:t xml:space="preserve"> 39</w:t>
      </w:r>
      <w:r w:rsidRPr="001E3A0E">
        <w:rPr>
          <w:rFonts w:ascii="Times New Roman" w:hAnsi="Times New Roman" w:cs="Times New Roman"/>
          <w:b/>
          <w:szCs w:val="24"/>
        </w:rPr>
        <w:t>,</w:t>
      </w:r>
      <w:r w:rsidRPr="001E3A0E">
        <w:rPr>
          <w:rFonts w:ascii="Times New Roman" w:hAnsi="Times New Roman" w:cs="Times New Roman"/>
          <w:szCs w:val="24"/>
        </w:rPr>
        <w:t xml:space="preserve"> 447-455.</w:t>
      </w:r>
    </w:p>
    <w:p w14:paraId="27892A0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BLODGETT, J. M., THEOU, O., HOWLETT, S. E., WU, F. C. W. &amp; ROCKWOOD, K. 2016. A frailty index based on laboratory deficits in community-dwelling men predicted their risk of adverse health outcomes. </w:t>
      </w:r>
      <w:r w:rsidRPr="001E3A0E">
        <w:rPr>
          <w:rFonts w:ascii="Times New Roman" w:hAnsi="Times New Roman" w:cs="Times New Roman"/>
          <w:i/>
          <w:szCs w:val="24"/>
        </w:rPr>
        <w:t>Age &amp; Ageing,</w:t>
      </w:r>
      <w:r w:rsidRPr="001E3A0E">
        <w:rPr>
          <w:rFonts w:ascii="Times New Roman" w:hAnsi="Times New Roman" w:cs="Times New Roman"/>
          <w:szCs w:val="24"/>
        </w:rPr>
        <w:t xml:space="preserve"> 45</w:t>
      </w:r>
      <w:r w:rsidRPr="001E3A0E">
        <w:rPr>
          <w:rFonts w:ascii="Times New Roman" w:hAnsi="Times New Roman" w:cs="Times New Roman"/>
          <w:b/>
          <w:szCs w:val="24"/>
        </w:rPr>
        <w:t>,</w:t>
      </w:r>
      <w:r w:rsidRPr="001E3A0E">
        <w:rPr>
          <w:rFonts w:ascii="Times New Roman" w:hAnsi="Times New Roman" w:cs="Times New Roman"/>
          <w:szCs w:val="24"/>
        </w:rPr>
        <w:t xml:space="preserve"> 463-8.</w:t>
      </w:r>
    </w:p>
    <w:p w14:paraId="541F01D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BOHN, L., ZHENG, Y., MCFALL, G. P. &amp; DIXON, R. A. 2021. Portals to frailty? Data-driven analyses detect early frailty profiles. </w:t>
      </w:r>
      <w:r w:rsidRPr="001E3A0E">
        <w:rPr>
          <w:rFonts w:ascii="Times New Roman" w:hAnsi="Times New Roman" w:cs="Times New Roman"/>
          <w:i/>
          <w:szCs w:val="24"/>
        </w:rPr>
        <w:t>Alzheimers Research &amp; Therapy,</w:t>
      </w:r>
      <w:r w:rsidRPr="001E3A0E">
        <w:rPr>
          <w:rFonts w:ascii="Times New Roman" w:hAnsi="Times New Roman" w:cs="Times New Roman"/>
          <w:szCs w:val="24"/>
        </w:rPr>
        <w:t xml:space="preserve"> 13</w:t>
      </w:r>
      <w:r w:rsidRPr="001E3A0E">
        <w:rPr>
          <w:rFonts w:ascii="Times New Roman" w:hAnsi="Times New Roman" w:cs="Times New Roman"/>
          <w:b/>
          <w:szCs w:val="24"/>
        </w:rPr>
        <w:t>,</w:t>
      </w:r>
      <w:r w:rsidRPr="001E3A0E">
        <w:rPr>
          <w:rFonts w:ascii="Times New Roman" w:hAnsi="Times New Roman" w:cs="Times New Roman"/>
          <w:szCs w:val="24"/>
        </w:rPr>
        <w:t xml:space="preserve"> 12.</w:t>
      </w:r>
    </w:p>
    <w:p w14:paraId="4495D1F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BORGES, M., ROMANINI, C., LIMA, N., PETRELLA, M., DA COSTA, D., AN, V., AGUIRRE, B., GALDEANO, J., FERNANDES, I. &amp; CECATO, J. 2021. Longitudinal Association between Late-Life Depression (LLD) and Frailty: Findings from a Prospective Cohort Study (MiMiCS-FRAIL). </w:t>
      </w:r>
      <w:r w:rsidRPr="001E3A0E">
        <w:rPr>
          <w:rFonts w:ascii="Times New Roman" w:hAnsi="Times New Roman" w:cs="Times New Roman"/>
          <w:i/>
          <w:szCs w:val="24"/>
        </w:rPr>
        <w:t>The journal of nutrition, health &amp; aging</w:t>
      </w:r>
      <w:r w:rsidRPr="001E3A0E">
        <w:rPr>
          <w:rFonts w:ascii="Times New Roman" w:hAnsi="Times New Roman" w:cs="Times New Roman"/>
          <w:b/>
          <w:szCs w:val="24"/>
        </w:rPr>
        <w:t>,</w:t>
      </w:r>
      <w:r w:rsidRPr="001E3A0E">
        <w:rPr>
          <w:rFonts w:ascii="Times New Roman" w:hAnsi="Times New Roman" w:cs="Times New Roman"/>
          <w:szCs w:val="24"/>
        </w:rPr>
        <w:t xml:space="preserve"> 1-8.</w:t>
      </w:r>
    </w:p>
    <w:p w14:paraId="42A4FA8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BÖRSCH-SUPAN, A., BRANDT, M., HUNKLER, C., KNEIP, T., KORBMACHER, J., MALTER, F., SCHAAN, B., STUCK, S., ZUBER, S. &amp; TEAM, O. B. O. T. S. C. C. 2013. Data Resource Profile: The Survey of Health, Ageing and Retirement in Europe (SHARE). </w:t>
      </w:r>
      <w:r w:rsidRPr="001E3A0E">
        <w:rPr>
          <w:rFonts w:ascii="Times New Roman" w:hAnsi="Times New Roman" w:cs="Times New Roman"/>
          <w:i/>
          <w:szCs w:val="24"/>
        </w:rPr>
        <w:t>International Journal of Epidemiology,</w:t>
      </w:r>
      <w:r w:rsidRPr="001E3A0E">
        <w:rPr>
          <w:rFonts w:ascii="Times New Roman" w:hAnsi="Times New Roman" w:cs="Times New Roman"/>
          <w:szCs w:val="24"/>
        </w:rPr>
        <w:t xml:space="preserve"> 42</w:t>
      </w:r>
      <w:r w:rsidRPr="001E3A0E">
        <w:rPr>
          <w:rFonts w:ascii="Times New Roman" w:hAnsi="Times New Roman" w:cs="Times New Roman"/>
          <w:b/>
          <w:szCs w:val="24"/>
        </w:rPr>
        <w:t>,</w:t>
      </w:r>
      <w:r w:rsidRPr="001E3A0E">
        <w:rPr>
          <w:rFonts w:ascii="Times New Roman" w:hAnsi="Times New Roman" w:cs="Times New Roman"/>
          <w:szCs w:val="24"/>
        </w:rPr>
        <w:t xml:space="preserve"> 992-1001.</w:t>
      </w:r>
    </w:p>
    <w:p w14:paraId="4E2BC1F1"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BROWN, J. D., ALIPOUR-HARIS, G., PAHOR, M. &amp; MANINI, T. M. 2020. Association between a deficit accumulation frailty index and mobility outcomes in older adults: Secondary analysis of the lifestyle interventions and independence for elders (life) study. </w:t>
      </w:r>
      <w:r w:rsidRPr="001E3A0E">
        <w:rPr>
          <w:rFonts w:ascii="Times New Roman" w:hAnsi="Times New Roman" w:cs="Times New Roman"/>
          <w:i/>
          <w:szCs w:val="24"/>
        </w:rPr>
        <w:t>Journal of clinical medicine,</w:t>
      </w:r>
      <w:r w:rsidRPr="001E3A0E">
        <w:rPr>
          <w:rFonts w:ascii="Times New Roman" w:hAnsi="Times New Roman" w:cs="Times New Roman"/>
          <w:szCs w:val="24"/>
        </w:rPr>
        <w:t xml:space="preserve"> 9</w:t>
      </w:r>
      <w:r w:rsidRPr="001E3A0E">
        <w:rPr>
          <w:rFonts w:ascii="Times New Roman" w:hAnsi="Times New Roman" w:cs="Times New Roman"/>
          <w:b/>
          <w:szCs w:val="24"/>
        </w:rPr>
        <w:t>,</w:t>
      </w:r>
      <w:r w:rsidRPr="001E3A0E">
        <w:rPr>
          <w:rFonts w:ascii="Times New Roman" w:hAnsi="Times New Roman" w:cs="Times New Roman"/>
          <w:szCs w:val="24"/>
        </w:rPr>
        <w:t xml:space="preserve"> 3757.</w:t>
      </w:r>
    </w:p>
    <w:p w14:paraId="7FBC1D87"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CESARI, M., GAMBASSI, G., VAN KAN, G. A. &amp; VELLAS, B. 2014. The frailty phenotype and the frailty index: different instruments for different purposes. </w:t>
      </w:r>
      <w:r w:rsidRPr="001E3A0E">
        <w:rPr>
          <w:rFonts w:ascii="Times New Roman" w:hAnsi="Times New Roman" w:cs="Times New Roman"/>
          <w:i/>
          <w:szCs w:val="24"/>
        </w:rPr>
        <w:t>Age Ageing,</w:t>
      </w:r>
      <w:r w:rsidRPr="001E3A0E">
        <w:rPr>
          <w:rFonts w:ascii="Times New Roman" w:hAnsi="Times New Roman" w:cs="Times New Roman"/>
          <w:szCs w:val="24"/>
        </w:rPr>
        <w:t xml:space="preserve"> 43</w:t>
      </w:r>
      <w:r w:rsidRPr="001E3A0E">
        <w:rPr>
          <w:rFonts w:ascii="Times New Roman" w:hAnsi="Times New Roman" w:cs="Times New Roman"/>
          <w:b/>
          <w:szCs w:val="24"/>
        </w:rPr>
        <w:t>,</w:t>
      </w:r>
      <w:r w:rsidRPr="001E3A0E">
        <w:rPr>
          <w:rFonts w:ascii="Times New Roman" w:hAnsi="Times New Roman" w:cs="Times New Roman"/>
          <w:szCs w:val="24"/>
        </w:rPr>
        <w:t xml:space="preserve"> 10-2.</w:t>
      </w:r>
    </w:p>
    <w:p w14:paraId="6EC5C23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CHAMBERLAIN, A. M., ST SAUVER, J. L., JACOBSON, D. J., MANEMANN, S. M., FAN, C., ROGER, V. L., YAWN, B. P. &amp; FINNEY RUTTEN, L. J. 2016. Social and behavioural factors associated with frailty trajectories in a population-based cohort of older adults. </w:t>
      </w:r>
      <w:r w:rsidRPr="001E3A0E">
        <w:rPr>
          <w:rFonts w:ascii="Times New Roman" w:hAnsi="Times New Roman" w:cs="Times New Roman"/>
          <w:i/>
          <w:szCs w:val="24"/>
        </w:rPr>
        <w:t>BMJ Open,</w:t>
      </w:r>
      <w:r w:rsidRPr="001E3A0E">
        <w:rPr>
          <w:rFonts w:ascii="Times New Roman" w:hAnsi="Times New Roman" w:cs="Times New Roman"/>
          <w:szCs w:val="24"/>
        </w:rPr>
        <w:t xml:space="preserve"> 6</w:t>
      </w:r>
      <w:r w:rsidRPr="001E3A0E">
        <w:rPr>
          <w:rFonts w:ascii="Times New Roman" w:hAnsi="Times New Roman" w:cs="Times New Roman"/>
          <w:b/>
          <w:szCs w:val="24"/>
        </w:rPr>
        <w:t>,</w:t>
      </w:r>
      <w:r w:rsidRPr="001E3A0E">
        <w:rPr>
          <w:rFonts w:ascii="Times New Roman" w:hAnsi="Times New Roman" w:cs="Times New Roman"/>
          <w:szCs w:val="24"/>
        </w:rPr>
        <w:t xml:space="preserve"> e011410.</w:t>
      </w:r>
    </w:p>
    <w:p w14:paraId="33B8DA0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CHANG, S. F. &amp; LIN, P. L. 2015. Frail phenotype and mortality prediction: a systematic review and meta-analysis of prospective cohort studies. </w:t>
      </w:r>
      <w:r w:rsidRPr="001E3A0E">
        <w:rPr>
          <w:rFonts w:ascii="Times New Roman" w:hAnsi="Times New Roman" w:cs="Times New Roman"/>
          <w:i/>
          <w:szCs w:val="24"/>
        </w:rPr>
        <w:t>Int J Nurs Stud,</w:t>
      </w:r>
      <w:r w:rsidRPr="001E3A0E">
        <w:rPr>
          <w:rFonts w:ascii="Times New Roman" w:hAnsi="Times New Roman" w:cs="Times New Roman"/>
          <w:szCs w:val="24"/>
        </w:rPr>
        <w:t xml:space="preserve"> 52</w:t>
      </w:r>
      <w:r w:rsidRPr="001E3A0E">
        <w:rPr>
          <w:rFonts w:ascii="Times New Roman" w:hAnsi="Times New Roman" w:cs="Times New Roman"/>
          <w:b/>
          <w:szCs w:val="24"/>
        </w:rPr>
        <w:t>,</w:t>
      </w:r>
      <w:r w:rsidRPr="001E3A0E">
        <w:rPr>
          <w:rFonts w:ascii="Times New Roman" w:hAnsi="Times New Roman" w:cs="Times New Roman"/>
          <w:szCs w:val="24"/>
        </w:rPr>
        <w:t xml:space="preserve"> 1362-74.</w:t>
      </w:r>
    </w:p>
    <w:p w14:paraId="5591FA5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CHEN, Y.-Z., HUANG, S.-T., WEN, Y.-W., CHEN, L.-K. &amp; HSIAO, F.-Y. 2021. Combined effects of frailty and polypharmacy on health outcomes in older adults: frailty outweighs polypharmacy. </w:t>
      </w:r>
      <w:r w:rsidRPr="001E3A0E">
        <w:rPr>
          <w:rFonts w:ascii="Times New Roman" w:hAnsi="Times New Roman" w:cs="Times New Roman"/>
          <w:i/>
          <w:szCs w:val="24"/>
        </w:rPr>
        <w:t>Journal of the American Medical Directors Association,</w:t>
      </w:r>
      <w:r w:rsidRPr="001E3A0E">
        <w:rPr>
          <w:rFonts w:ascii="Times New Roman" w:hAnsi="Times New Roman" w:cs="Times New Roman"/>
          <w:szCs w:val="24"/>
        </w:rPr>
        <w:t xml:space="preserve"> 22</w:t>
      </w:r>
      <w:r w:rsidRPr="001E3A0E">
        <w:rPr>
          <w:rFonts w:ascii="Times New Roman" w:hAnsi="Times New Roman" w:cs="Times New Roman"/>
          <w:b/>
          <w:szCs w:val="24"/>
        </w:rPr>
        <w:t>,</w:t>
      </w:r>
      <w:r w:rsidRPr="001E3A0E">
        <w:rPr>
          <w:rFonts w:ascii="Times New Roman" w:hAnsi="Times New Roman" w:cs="Times New Roman"/>
          <w:szCs w:val="24"/>
        </w:rPr>
        <w:t xml:space="preserve"> 606. e7-606. e18.</w:t>
      </w:r>
    </w:p>
    <w:p w14:paraId="5C3EB33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CHHATWAL, J., JAYASURIYA, S. &amp; ELBASHA, E. H. 2016. Changing cycle lengths in state-transition models: challenges and solutions. </w:t>
      </w:r>
      <w:r w:rsidRPr="001E3A0E">
        <w:rPr>
          <w:rFonts w:ascii="Times New Roman" w:hAnsi="Times New Roman" w:cs="Times New Roman"/>
          <w:i/>
          <w:szCs w:val="24"/>
        </w:rPr>
        <w:t>Medical Decision Making,</w:t>
      </w:r>
      <w:r w:rsidRPr="001E3A0E">
        <w:rPr>
          <w:rFonts w:ascii="Times New Roman" w:hAnsi="Times New Roman" w:cs="Times New Roman"/>
          <w:szCs w:val="24"/>
        </w:rPr>
        <w:t xml:space="preserve"> 36</w:t>
      </w:r>
      <w:r w:rsidRPr="001E3A0E">
        <w:rPr>
          <w:rFonts w:ascii="Times New Roman" w:hAnsi="Times New Roman" w:cs="Times New Roman"/>
          <w:b/>
          <w:szCs w:val="24"/>
        </w:rPr>
        <w:t>,</w:t>
      </w:r>
      <w:r w:rsidRPr="001E3A0E">
        <w:rPr>
          <w:rFonts w:ascii="Times New Roman" w:hAnsi="Times New Roman" w:cs="Times New Roman"/>
          <w:szCs w:val="24"/>
        </w:rPr>
        <w:t xml:space="preserve"> 952-964.</w:t>
      </w:r>
    </w:p>
    <w:p w14:paraId="6C6E920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CLEGG, A., BATES, C., YOUNG, J., RYAN, R., NICHOLS, L., ANN TEALE, E., MOHAMMED, M. A., PARRY, J. &amp; MARSHALL, T. 2016. Development and validation of an electronic frailty index using routine primary care electronic health record data. </w:t>
      </w:r>
      <w:r w:rsidRPr="001E3A0E">
        <w:rPr>
          <w:rFonts w:ascii="Times New Roman" w:hAnsi="Times New Roman" w:cs="Times New Roman"/>
          <w:i/>
          <w:szCs w:val="24"/>
        </w:rPr>
        <w:t>Age and Ageing,</w:t>
      </w:r>
      <w:r w:rsidRPr="001E3A0E">
        <w:rPr>
          <w:rFonts w:ascii="Times New Roman" w:hAnsi="Times New Roman" w:cs="Times New Roman"/>
          <w:szCs w:val="24"/>
        </w:rPr>
        <w:t xml:space="preserve"> 45</w:t>
      </w:r>
      <w:r w:rsidRPr="001E3A0E">
        <w:rPr>
          <w:rFonts w:ascii="Times New Roman" w:hAnsi="Times New Roman" w:cs="Times New Roman"/>
          <w:b/>
          <w:szCs w:val="24"/>
        </w:rPr>
        <w:t>,</w:t>
      </w:r>
      <w:r w:rsidRPr="001E3A0E">
        <w:rPr>
          <w:rFonts w:ascii="Times New Roman" w:hAnsi="Times New Roman" w:cs="Times New Roman"/>
          <w:szCs w:val="24"/>
        </w:rPr>
        <w:t xml:space="preserve"> 353-360.</w:t>
      </w:r>
    </w:p>
    <w:p w14:paraId="68E6290E"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CLEGG, A., YOUNG, J., ILIFFE, S., RIKKERT, M. O. &amp; ROCKWOOD, K. 2013. Frailty in elderly people. </w:t>
      </w:r>
      <w:r w:rsidRPr="001E3A0E">
        <w:rPr>
          <w:rFonts w:ascii="Times New Roman" w:hAnsi="Times New Roman" w:cs="Times New Roman"/>
          <w:i/>
          <w:szCs w:val="24"/>
        </w:rPr>
        <w:t>Lancet (London, England),</w:t>
      </w:r>
      <w:r w:rsidRPr="001E3A0E">
        <w:rPr>
          <w:rFonts w:ascii="Times New Roman" w:hAnsi="Times New Roman" w:cs="Times New Roman"/>
          <w:szCs w:val="24"/>
        </w:rPr>
        <w:t xml:space="preserve"> 381</w:t>
      </w:r>
      <w:r w:rsidRPr="001E3A0E">
        <w:rPr>
          <w:rFonts w:ascii="Times New Roman" w:hAnsi="Times New Roman" w:cs="Times New Roman"/>
          <w:b/>
          <w:szCs w:val="24"/>
        </w:rPr>
        <w:t>,</w:t>
      </w:r>
      <w:r w:rsidRPr="001E3A0E">
        <w:rPr>
          <w:rFonts w:ascii="Times New Roman" w:hAnsi="Times New Roman" w:cs="Times New Roman"/>
          <w:szCs w:val="24"/>
        </w:rPr>
        <w:t xml:space="preserve"> 752-762.</w:t>
      </w:r>
    </w:p>
    <w:p w14:paraId="60C1F59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DE SOUTO BARRETO, P., ROLLAND, Y., MALTAIS, M., VELLAS, B. &amp; GROUP, M. S. 2018. Associations of Multidomain Lifestyle Intervention with Frailty: Secondary Analysis of a Randomized Controlled Trial. </w:t>
      </w:r>
      <w:r w:rsidRPr="001E3A0E">
        <w:rPr>
          <w:rFonts w:ascii="Times New Roman" w:hAnsi="Times New Roman" w:cs="Times New Roman"/>
          <w:i/>
          <w:szCs w:val="24"/>
        </w:rPr>
        <w:t>American Journal of Medicine,</w:t>
      </w:r>
      <w:r w:rsidRPr="001E3A0E">
        <w:rPr>
          <w:rFonts w:ascii="Times New Roman" w:hAnsi="Times New Roman" w:cs="Times New Roman"/>
          <w:szCs w:val="24"/>
        </w:rPr>
        <w:t xml:space="preserve"> 131</w:t>
      </w:r>
      <w:r w:rsidRPr="001E3A0E">
        <w:rPr>
          <w:rFonts w:ascii="Times New Roman" w:hAnsi="Times New Roman" w:cs="Times New Roman"/>
          <w:b/>
          <w:szCs w:val="24"/>
        </w:rPr>
        <w:t>,</w:t>
      </w:r>
      <w:r w:rsidRPr="001E3A0E">
        <w:rPr>
          <w:rFonts w:ascii="Times New Roman" w:hAnsi="Times New Roman" w:cs="Times New Roman"/>
          <w:szCs w:val="24"/>
        </w:rPr>
        <w:t xml:space="preserve"> 1382.e7-1382.e13.</w:t>
      </w:r>
    </w:p>
    <w:p w14:paraId="0BF7BD8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DRUBBEL, I., DE WIT, N. J., BLEIJENBERG, N., EIJKEMANS, R. J., SCHUURMANS, M. J. &amp; NUMANS, M. E. 2013. Prediction of adverse health outcomes in older people using a frailty index based on routine primary care data. </w:t>
      </w:r>
      <w:r w:rsidRPr="001E3A0E">
        <w:rPr>
          <w:rFonts w:ascii="Times New Roman" w:hAnsi="Times New Roman" w:cs="Times New Roman"/>
          <w:i/>
          <w:szCs w:val="24"/>
        </w:rPr>
        <w:t>Journals of Gerontology Series A: Biomedical Sciences and Medical Sciences,</w:t>
      </w:r>
      <w:r w:rsidRPr="001E3A0E">
        <w:rPr>
          <w:rFonts w:ascii="Times New Roman" w:hAnsi="Times New Roman" w:cs="Times New Roman"/>
          <w:szCs w:val="24"/>
        </w:rPr>
        <w:t xml:space="preserve"> 68</w:t>
      </w:r>
      <w:r w:rsidRPr="001E3A0E">
        <w:rPr>
          <w:rFonts w:ascii="Times New Roman" w:hAnsi="Times New Roman" w:cs="Times New Roman"/>
          <w:b/>
          <w:szCs w:val="24"/>
        </w:rPr>
        <w:t>,</w:t>
      </w:r>
      <w:r w:rsidRPr="001E3A0E">
        <w:rPr>
          <w:rFonts w:ascii="Times New Roman" w:hAnsi="Times New Roman" w:cs="Times New Roman"/>
          <w:szCs w:val="24"/>
        </w:rPr>
        <w:t xml:space="preserve"> 301-308.</w:t>
      </w:r>
    </w:p>
    <w:p w14:paraId="3A2FDBA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ESPINOZA, S. E., JUNG, I. &amp; HAZUDA, H. 2012. Frailty transitions in the San Antonio Longitudinal Study of Aging. </w:t>
      </w:r>
      <w:r w:rsidRPr="001E3A0E">
        <w:rPr>
          <w:rFonts w:ascii="Times New Roman" w:hAnsi="Times New Roman" w:cs="Times New Roman"/>
          <w:i/>
          <w:szCs w:val="24"/>
        </w:rPr>
        <w:t>J Am Geriatr Soc,</w:t>
      </w:r>
      <w:r w:rsidRPr="001E3A0E">
        <w:rPr>
          <w:rFonts w:ascii="Times New Roman" w:hAnsi="Times New Roman" w:cs="Times New Roman"/>
          <w:szCs w:val="24"/>
        </w:rPr>
        <w:t xml:space="preserve"> 60</w:t>
      </w:r>
      <w:r w:rsidRPr="001E3A0E">
        <w:rPr>
          <w:rFonts w:ascii="Times New Roman" w:hAnsi="Times New Roman" w:cs="Times New Roman"/>
          <w:b/>
          <w:szCs w:val="24"/>
        </w:rPr>
        <w:t>,</w:t>
      </w:r>
      <w:r w:rsidRPr="001E3A0E">
        <w:rPr>
          <w:rFonts w:ascii="Times New Roman" w:hAnsi="Times New Roman" w:cs="Times New Roman"/>
          <w:szCs w:val="24"/>
        </w:rPr>
        <w:t xml:space="preserve"> 652-60.</w:t>
      </w:r>
    </w:p>
    <w:p w14:paraId="590AAB8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FALLAH, N., MITNITSKI, A., SEARLE, S. D., GAHBAUER, E. A., GILL, T. M. &amp; ROCKWOOD, K. 2011. Transitions in frailty status in older adults in relation to mobility: a multistate modeling approach employing a deficit count. </w:t>
      </w:r>
      <w:r w:rsidRPr="001E3A0E">
        <w:rPr>
          <w:rFonts w:ascii="Times New Roman" w:hAnsi="Times New Roman" w:cs="Times New Roman"/>
          <w:i/>
          <w:szCs w:val="24"/>
        </w:rPr>
        <w:t>Journal of the American Geriatrics Society,</w:t>
      </w:r>
      <w:r w:rsidRPr="001E3A0E">
        <w:rPr>
          <w:rFonts w:ascii="Times New Roman" w:hAnsi="Times New Roman" w:cs="Times New Roman"/>
          <w:szCs w:val="24"/>
        </w:rPr>
        <w:t xml:space="preserve"> 59</w:t>
      </w:r>
      <w:r w:rsidRPr="001E3A0E">
        <w:rPr>
          <w:rFonts w:ascii="Times New Roman" w:hAnsi="Times New Roman" w:cs="Times New Roman"/>
          <w:b/>
          <w:szCs w:val="24"/>
        </w:rPr>
        <w:t>,</w:t>
      </w:r>
      <w:r w:rsidRPr="001E3A0E">
        <w:rPr>
          <w:rFonts w:ascii="Times New Roman" w:hAnsi="Times New Roman" w:cs="Times New Roman"/>
          <w:szCs w:val="24"/>
        </w:rPr>
        <w:t xml:space="preserve"> 524-9.</w:t>
      </w:r>
    </w:p>
    <w:p w14:paraId="0963185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FANG, X., SHI, J., SONG, X., MITNITSKI, A., TANG, Z., WANG, C., YU, P. &amp; ROCKWOOD, K. 2012. And mortality in older Chinese adults: Results from the Beijing longitudinal study of aging. </w:t>
      </w:r>
      <w:r w:rsidRPr="001E3A0E">
        <w:rPr>
          <w:rFonts w:ascii="Times New Roman" w:hAnsi="Times New Roman" w:cs="Times New Roman"/>
          <w:i/>
          <w:szCs w:val="24"/>
        </w:rPr>
        <w:t>The journal of nutrition, health &amp; aging,</w:t>
      </w:r>
      <w:r w:rsidRPr="001E3A0E">
        <w:rPr>
          <w:rFonts w:ascii="Times New Roman" w:hAnsi="Times New Roman" w:cs="Times New Roman"/>
          <w:szCs w:val="24"/>
        </w:rPr>
        <w:t xml:space="preserve"> 16</w:t>
      </w:r>
      <w:r w:rsidRPr="001E3A0E">
        <w:rPr>
          <w:rFonts w:ascii="Times New Roman" w:hAnsi="Times New Roman" w:cs="Times New Roman"/>
          <w:b/>
          <w:szCs w:val="24"/>
        </w:rPr>
        <w:t>,</w:t>
      </w:r>
      <w:r w:rsidRPr="001E3A0E">
        <w:rPr>
          <w:rFonts w:ascii="Times New Roman" w:hAnsi="Times New Roman" w:cs="Times New Roman"/>
          <w:szCs w:val="24"/>
        </w:rPr>
        <w:t xml:space="preserve"> 903-907.</w:t>
      </w:r>
    </w:p>
    <w:p w14:paraId="39A8665E"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FRIED, L. P., TANGEN, C. M., WALSTON, J., NEWMAN, A. B., HIRSCH, C., GOTTDIENER, J., SEEMAN, T., TRACY, R., KOP, W. J., BURKE, G. &amp; MCBURNIE, M. A. 2001. Frailty in older adults: evidence for a phenotype. </w:t>
      </w:r>
      <w:r w:rsidRPr="001E3A0E">
        <w:rPr>
          <w:rFonts w:ascii="Times New Roman" w:hAnsi="Times New Roman" w:cs="Times New Roman"/>
          <w:i/>
          <w:szCs w:val="24"/>
        </w:rPr>
        <w:t>J Gerontol A Biol Sci Med Sci,</w:t>
      </w:r>
      <w:r w:rsidRPr="001E3A0E">
        <w:rPr>
          <w:rFonts w:ascii="Times New Roman" w:hAnsi="Times New Roman" w:cs="Times New Roman"/>
          <w:szCs w:val="24"/>
        </w:rPr>
        <w:t xml:space="preserve"> 56</w:t>
      </w:r>
      <w:r w:rsidRPr="001E3A0E">
        <w:rPr>
          <w:rFonts w:ascii="Times New Roman" w:hAnsi="Times New Roman" w:cs="Times New Roman"/>
          <w:b/>
          <w:szCs w:val="24"/>
        </w:rPr>
        <w:t>,</w:t>
      </w:r>
      <w:r w:rsidRPr="001E3A0E">
        <w:rPr>
          <w:rFonts w:ascii="Times New Roman" w:hAnsi="Times New Roman" w:cs="Times New Roman"/>
          <w:szCs w:val="24"/>
        </w:rPr>
        <w:t xml:space="preserve"> M146-56.</w:t>
      </w:r>
    </w:p>
    <w:p w14:paraId="0C6BEB8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GALE, C. R., MOTTUS, R., DEARY, I. J., COOPER, C. &amp; SAYER, A. A. 2017. Personality and Risk of Frailty: the English Longitudinal Study of Ageing. </w:t>
      </w:r>
      <w:r w:rsidRPr="001E3A0E">
        <w:rPr>
          <w:rFonts w:ascii="Times New Roman" w:hAnsi="Times New Roman" w:cs="Times New Roman"/>
          <w:i/>
          <w:szCs w:val="24"/>
        </w:rPr>
        <w:t>Annals of Behavioral Medicine,</w:t>
      </w:r>
      <w:r w:rsidRPr="001E3A0E">
        <w:rPr>
          <w:rFonts w:ascii="Times New Roman" w:hAnsi="Times New Roman" w:cs="Times New Roman"/>
          <w:szCs w:val="24"/>
        </w:rPr>
        <w:t xml:space="preserve"> 51</w:t>
      </w:r>
      <w:r w:rsidRPr="001E3A0E">
        <w:rPr>
          <w:rFonts w:ascii="Times New Roman" w:hAnsi="Times New Roman" w:cs="Times New Roman"/>
          <w:b/>
          <w:szCs w:val="24"/>
        </w:rPr>
        <w:t>,</w:t>
      </w:r>
      <w:r w:rsidRPr="001E3A0E">
        <w:rPr>
          <w:rFonts w:ascii="Times New Roman" w:hAnsi="Times New Roman" w:cs="Times New Roman"/>
          <w:szCs w:val="24"/>
        </w:rPr>
        <w:t xml:space="preserve"> 128-136.</w:t>
      </w:r>
    </w:p>
    <w:p w14:paraId="2338846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GALE, C. R., WESTBURY, L. &amp; COOPER, C. 2018. Social isolation and loneliness as risk factors for the progression of frailty: the English Longitudinal Study of Ageing. </w:t>
      </w:r>
      <w:r w:rsidRPr="001E3A0E">
        <w:rPr>
          <w:rFonts w:ascii="Times New Roman" w:hAnsi="Times New Roman" w:cs="Times New Roman"/>
          <w:i/>
          <w:szCs w:val="24"/>
        </w:rPr>
        <w:t>Age &amp; Ageing,</w:t>
      </w:r>
      <w:r w:rsidRPr="001E3A0E">
        <w:rPr>
          <w:rFonts w:ascii="Times New Roman" w:hAnsi="Times New Roman" w:cs="Times New Roman"/>
          <w:szCs w:val="24"/>
        </w:rPr>
        <w:t xml:space="preserve"> 47</w:t>
      </w:r>
      <w:r w:rsidRPr="001E3A0E">
        <w:rPr>
          <w:rFonts w:ascii="Times New Roman" w:hAnsi="Times New Roman" w:cs="Times New Roman"/>
          <w:b/>
          <w:szCs w:val="24"/>
        </w:rPr>
        <w:t>,</w:t>
      </w:r>
      <w:r w:rsidRPr="001E3A0E">
        <w:rPr>
          <w:rFonts w:ascii="Times New Roman" w:hAnsi="Times New Roman" w:cs="Times New Roman"/>
          <w:szCs w:val="24"/>
        </w:rPr>
        <w:t xml:space="preserve"> 392-397.</w:t>
      </w:r>
    </w:p>
    <w:p w14:paraId="4A3C006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GAO, X., ZHANG, Y., SAUM, K. U., SCHOTTKER, B., BREITLING, L. P. &amp; BRENNER, H. 2017. Tobacco smoking and smoking-related DNA methylation are associated with the development of frailty among older adults. </w:t>
      </w:r>
      <w:r w:rsidRPr="001E3A0E">
        <w:rPr>
          <w:rFonts w:ascii="Times New Roman" w:hAnsi="Times New Roman" w:cs="Times New Roman"/>
          <w:i/>
          <w:szCs w:val="24"/>
        </w:rPr>
        <w:t>Epigenetics,</w:t>
      </w:r>
      <w:r w:rsidRPr="001E3A0E">
        <w:rPr>
          <w:rFonts w:ascii="Times New Roman" w:hAnsi="Times New Roman" w:cs="Times New Roman"/>
          <w:szCs w:val="24"/>
        </w:rPr>
        <w:t xml:space="preserve"> 12</w:t>
      </w:r>
      <w:r w:rsidRPr="001E3A0E">
        <w:rPr>
          <w:rFonts w:ascii="Times New Roman" w:hAnsi="Times New Roman" w:cs="Times New Roman"/>
          <w:b/>
          <w:szCs w:val="24"/>
        </w:rPr>
        <w:t>,</w:t>
      </w:r>
      <w:r w:rsidRPr="001E3A0E">
        <w:rPr>
          <w:rFonts w:ascii="Times New Roman" w:hAnsi="Times New Roman" w:cs="Times New Roman"/>
          <w:szCs w:val="24"/>
        </w:rPr>
        <w:t xml:space="preserve"> 149-156.</w:t>
      </w:r>
    </w:p>
    <w:p w14:paraId="7AE8C7A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GARCÍA-GONZÁLEZ, J. J., GARCÍA-PEÑA, C., FRANCO-MARINA, F. &amp; GUTIÉRREZ-ROBLEDO, L. M. 2009. A frailty index to predict the mortality risk in a population of senior Mexican adults.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9</w:t>
      </w:r>
      <w:r w:rsidRPr="001E3A0E">
        <w:rPr>
          <w:rFonts w:ascii="Times New Roman" w:hAnsi="Times New Roman" w:cs="Times New Roman"/>
          <w:b/>
          <w:szCs w:val="24"/>
        </w:rPr>
        <w:t>,</w:t>
      </w:r>
      <w:r w:rsidRPr="001E3A0E">
        <w:rPr>
          <w:rFonts w:ascii="Times New Roman" w:hAnsi="Times New Roman" w:cs="Times New Roman"/>
          <w:szCs w:val="24"/>
        </w:rPr>
        <w:t xml:space="preserve"> 1-8.</w:t>
      </w:r>
    </w:p>
    <w:p w14:paraId="4F40807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GILL, T. M., GAHBAUER, E. A., ALLORE, H. G. &amp; HAN, L. 2006. Transitions between frailty states among community-living older persons. </w:t>
      </w:r>
      <w:r w:rsidRPr="001E3A0E">
        <w:rPr>
          <w:rFonts w:ascii="Times New Roman" w:hAnsi="Times New Roman" w:cs="Times New Roman"/>
          <w:i/>
          <w:szCs w:val="24"/>
        </w:rPr>
        <w:t>Arch Intern Med,</w:t>
      </w:r>
      <w:r w:rsidRPr="001E3A0E">
        <w:rPr>
          <w:rFonts w:ascii="Times New Roman" w:hAnsi="Times New Roman" w:cs="Times New Roman"/>
          <w:szCs w:val="24"/>
        </w:rPr>
        <w:t xml:space="preserve"> 166</w:t>
      </w:r>
      <w:r w:rsidRPr="001E3A0E">
        <w:rPr>
          <w:rFonts w:ascii="Times New Roman" w:hAnsi="Times New Roman" w:cs="Times New Roman"/>
          <w:b/>
          <w:szCs w:val="24"/>
        </w:rPr>
        <w:t>,</w:t>
      </w:r>
      <w:r w:rsidRPr="001E3A0E">
        <w:rPr>
          <w:rFonts w:ascii="Times New Roman" w:hAnsi="Times New Roman" w:cs="Times New Roman"/>
          <w:szCs w:val="24"/>
        </w:rPr>
        <w:t xml:space="preserve"> 418-23.</w:t>
      </w:r>
    </w:p>
    <w:p w14:paraId="788D9951"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GOBBENS, R. J. J. &amp; VAN DER PLOEG, T. 2021. The Development of Multidimensional Frailty Over Seven Years A longitudinal study among Dutch community-dwelling older people using the Tilburg Frailty Indicator. </w:t>
      </w:r>
      <w:r w:rsidRPr="001E3A0E">
        <w:rPr>
          <w:rFonts w:ascii="Times New Roman" w:hAnsi="Times New Roman" w:cs="Times New Roman"/>
          <w:i/>
          <w:szCs w:val="24"/>
        </w:rPr>
        <w:t>Archives of Gerontology &amp; Geriatrics,</w:t>
      </w:r>
      <w:r w:rsidRPr="001E3A0E">
        <w:rPr>
          <w:rFonts w:ascii="Times New Roman" w:hAnsi="Times New Roman" w:cs="Times New Roman"/>
          <w:szCs w:val="24"/>
        </w:rPr>
        <w:t xml:space="preserve"> 95</w:t>
      </w:r>
      <w:r w:rsidRPr="001E3A0E">
        <w:rPr>
          <w:rFonts w:ascii="Times New Roman" w:hAnsi="Times New Roman" w:cs="Times New Roman"/>
          <w:b/>
          <w:szCs w:val="24"/>
        </w:rPr>
        <w:t>,</w:t>
      </w:r>
      <w:r w:rsidRPr="001E3A0E">
        <w:rPr>
          <w:rFonts w:ascii="Times New Roman" w:hAnsi="Times New Roman" w:cs="Times New Roman"/>
          <w:szCs w:val="24"/>
        </w:rPr>
        <w:t xml:space="preserve"> 104393.</w:t>
      </w:r>
    </w:p>
    <w:p w14:paraId="6B3F9FD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GU, D., DUPRE, M. E., SAUTTER, J., ZHU, H., LIU, Y. &amp; YI, Z. 2009. Frailty and mortality among Chinese at advanced ages. </w:t>
      </w:r>
      <w:r w:rsidRPr="001E3A0E">
        <w:rPr>
          <w:rFonts w:ascii="Times New Roman" w:hAnsi="Times New Roman" w:cs="Times New Roman"/>
          <w:i/>
          <w:szCs w:val="24"/>
        </w:rPr>
        <w:t>Journals of Gerontology: Series B,</w:t>
      </w:r>
      <w:r w:rsidRPr="001E3A0E">
        <w:rPr>
          <w:rFonts w:ascii="Times New Roman" w:hAnsi="Times New Roman" w:cs="Times New Roman"/>
          <w:szCs w:val="24"/>
        </w:rPr>
        <w:t xml:space="preserve"> 64</w:t>
      </w:r>
      <w:r w:rsidRPr="001E3A0E">
        <w:rPr>
          <w:rFonts w:ascii="Times New Roman" w:hAnsi="Times New Roman" w:cs="Times New Roman"/>
          <w:b/>
          <w:szCs w:val="24"/>
        </w:rPr>
        <w:t>,</w:t>
      </w:r>
      <w:r w:rsidRPr="001E3A0E">
        <w:rPr>
          <w:rFonts w:ascii="Times New Roman" w:hAnsi="Times New Roman" w:cs="Times New Roman"/>
          <w:szCs w:val="24"/>
        </w:rPr>
        <w:t xml:space="preserve"> 279-289.</w:t>
      </w:r>
    </w:p>
    <w:p w14:paraId="02E354F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HAO, Q., DONG, B., YANG, M., DONG, B. &amp; WEI, Y. 2018. Frailty and cognitive impairment in predicting mortality among oldest-old people. </w:t>
      </w:r>
      <w:r w:rsidRPr="001E3A0E">
        <w:rPr>
          <w:rFonts w:ascii="Times New Roman" w:hAnsi="Times New Roman" w:cs="Times New Roman"/>
          <w:i/>
          <w:szCs w:val="24"/>
        </w:rPr>
        <w:t>Frontiers in aging neuroscience,</w:t>
      </w:r>
      <w:r w:rsidRPr="001E3A0E">
        <w:rPr>
          <w:rFonts w:ascii="Times New Roman" w:hAnsi="Times New Roman" w:cs="Times New Roman"/>
          <w:szCs w:val="24"/>
        </w:rPr>
        <w:t xml:space="preserve"> 10</w:t>
      </w:r>
      <w:r w:rsidRPr="001E3A0E">
        <w:rPr>
          <w:rFonts w:ascii="Times New Roman" w:hAnsi="Times New Roman" w:cs="Times New Roman"/>
          <w:b/>
          <w:szCs w:val="24"/>
        </w:rPr>
        <w:t>,</w:t>
      </w:r>
      <w:r w:rsidRPr="001E3A0E">
        <w:rPr>
          <w:rFonts w:ascii="Times New Roman" w:hAnsi="Times New Roman" w:cs="Times New Roman"/>
          <w:szCs w:val="24"/>
        </w:rPr>
        <w:t xml:space="preserve"> 295.</w:t>
      </w:r>
    </w:p>
    <w:p w14:paraId="663F768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HERR, M., ROBINE, J.-M., AEGERTER, P., ARVIEU, J.-J. &amp; ANKRI, J. 2015. Contribution of socioeconomic position over life to frailty differences in old age: comparison of life-course models in a French sample of 2350 old people. </w:t>
      </w:r>
      <w:r w:rsidRPr="001E3A0E">
        <w:rPr>
          <w:rFonts w:ascii="Times New Roman" w:hAnsi="Times New Roman" w:cs="Times New Roman"/>
          <w:i/>
          <w:szCs w:val="24"/>
        </w:rPr>
        <w:t>Annals of Epidemiology,</w:t>
      </w:r>
      <w:r w:rsidRPr="001E3A0E">
        <w:rPr>
          <w:rFonts w:ascii="Times New Roman" w:hAnsi="Times New Roman" w:cs="Times New Roman"/>
          <w:szCs w:val="24"/>
        </w:rPr>
        <w:t xml:space="preserve"> 25</w:t>
      </w:r>
      <w:r w:rsidRPr="001E3A0E">
        <w:rPr>
          <w:rFonts w:ascii="Times New Roman" w:hAnsi="Times New Roman" w:cs="Times New Roman"/>
          <w:b/>
          <w:szCs w:val="24"/>
        </w:rPr>
        <w:t>,</w:t>
      </w:r>
      <w:r w:rsidRPr="001E3A0E">
        <w:rPr>
          <w:rFonts w:ascii="Times New Roman" w:hAnsi="Times New Roman" w:cs="Times New Roman"/>
          <w:szCs w:val="24"/>
        </w:rPr>
        <w:t xml:space="preserve"> 674-680.e1.</w:t>
      </w:r>
    </w:p>
    <w:p w14:paraId="2BB3CB81"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HILL, A. D., FOWLER, R. A., WUNSCH, H., PINTO, R. &amp; SCALES, D. C. 2021. Frailty and long-term outcomes following critical illness: A population-level cohort study. </w:t>
      </w:r>
      <w:r w:rsidRPr="001E3A0E">
        <w:rPr>
          <w:rFonts w:ascii="Times New Roman" w:hAnsi="Times New Roman" w:cs="Times New Roman"/>
          <w:i/>
          <w:szCs w:val="24"/>
        </w:rPr>
        <w:t>Journal of Critical Care,</w:t>
      </w:r>
      <w:r w:rsidRPr="001E3A0E">
        <w:rPr>
          <w:rFonts w:ascii="Times New Roman" w:hAnsi="Times New Roman" w:cs="Times New Roman"/>
          <w:szCs w:val="24"/>
        </w:rPr>
        <w:t xml:space="preserve"> 62</w:t>
      </w:r>
      <w:r w:rsidRPr="001E3A0E">
        <w:rPr>
          <w:rFonts w:ascii="Times New Roman" w:hAnsi="Times New Roman" w:cs="Times New Roman"/>
          <w:b/>
          <w:szCs w:val="24"/>
        </w:rPr>
        <w:t>,</w:t>
      </w:r>
      <w:r w:rsidRPr="001E3A0E">
        <w:rPr>
          <w:rFonts w:ascii="Times New Roman" w:hAnsi="Times New Roman" w:cs="Times New Roman"/>
          <w:szCs w:val="24"/>
        </w:rPr>
        <w:t xml:space="preserve"> 94-100.</w:t>
      </w:r>
    </w:p>
    <w:p w14:paraId="2B92DAE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HOLLINGHURST, J., FRY, R., AKBARI, A., CLEGG, A., LYONS, R. A., WATKINS, A. &amp; RODGERS, S. E. 2019. External validation of the electronic Frailty Index using the population of Wales within the Secure Anonymised Information Linkage Databank. </w:t>
      </w:r>
      <w:r w:rsidRPr="001E3A0E">
        <w:rPr>
          <w:rFonts w:ascii="Times New Roman" w:hAnsi="Times New Roman" w:cs="Times New Roman"/>
          <w:i/>
          <w:szCs w:val="24"/>
        </w:rPr>
        <w:t>Age &amp; Ageing,</w:t>
      </w:r>
      <w:r w:rsidRPr="001E3A0E">
        <w:rPr>
          <w:rFonts w:ascii="Times New Roman" w:hAnsi="Times New Roman" w:cs="Times New Roman"/>
          <w:szCs w:val="24"/>
        </w:rPr>
        <w:t xml:space="preserve"> 48</w:t>
      </w:r>
      <w:r w:rsidRPr="001E3A0E">
        <w:rPr>
          <w:rFonts w:ascii="Times New Roman" w:hAnsi="Times New Roman" w:cs="Times New Roman"/>
          <w:b/>
          <w:szCs w:val="24"/>
        </w:rPr>
        <w:t>,</w:t>
      </w:r>
      <w:r w:rsidRPr="001E3A0E">
        <w:rPr>
          <w:rFonts w:ascii="Times New Roman" w:hAnsi="Times New Roman" w:cs="Times New Roman"/>
          <w:szCs w:val="24"/>
        </w:rPr>
        <w:t xml:space="preserve"> 922-926.</w:t>
      </w:r>
    </w:p>
    <w:p w14:paraId="3BE4648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HOOGENDIJK, E. O., ROCKWOOD, K., THEOU, O., ARMSTRONG, J. J., ONWUTEAKA-PHILIPSEN, B. D., DEEG, D. J. &amp; HUISMAN, M. 2018. Tracking changes in frailty throughout later life: results from a 17-year longitudinal study in the Netherlands. </w:t>
      </w:r>
      <w:r w:rsidRPr="001E3A0E">
        <w:rPr>
          <w:rFonts w:ascii="Times New Roman" w:hAnsi="Times New Roman" w:cs="Times New Roman"/>
          <w:i/>
          <w:szCs w:val="24"/>
        </w:rPr>
        <w:t>Age and ageing,</w:t>
      </w:r>
      <w:r w:rsidRPr="001E3A0E">
        <w:rPr>
          <w:rFonts w:ascii="Times New Roman" w:hAnsi="Times New Roman" w:cs="Times New Roman"/>
          <w:szCs w:val="24"/>
        </w:rPr>
        <w:t xml:space="preserve"> 47</w:t>
      </w:r>
      <w:r w:rsidRPr="001E3A0E">
        <w:rPr>
          <w:rFonts w:ascii="Times New Roman" w:hAnsi="Times New Roman" w:cs="Times New Roman"/>
          <w:b/>
          <w:szCs w:val="24"/>
        </w:rPr>
        <w:t>,</w:t>
      </w:r>
      <w:r w:rsidRPr="001E3A0E">
        <w:rPr>
          <w:rFonts w:ascii="Times New Roman" w:hAnsi="Times New Roman" w:cs="Times New Roman"/>
          <w:szCs w:val="24"/>
        </w:rPr>
        <w:t xml:space="preserve"> 727-733.</w:t>
      </w:r>
    </w:p>
    <w:p w14:paraId="43F140A5"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HOOGENDIJK, E. O., THEOU, O., ROCKWOOD, K., ONWUTEAKA-PHILIPSEN, B. D., DEEG, D. J. &amp; HUISMAN, M. 2017. Development and validation of a frailty index in the Longitudinal Aging Study Amsterdam. </w:t>
      </w:r>
      <w:r w:rsidRPr="001E3A0E">
        <w:rPr>
          <w:rFonts w:ascii="Times New Roman" w:hAnsi="Times New Roman" w:cs="Times New Roman"/>
          <w:i/>
          <w:szCs w:val="24"/>
        </w:rPr>
        <w:t>Aging clinical and experimental research,</w:t>
      </w:r>
      <w:r w:rsidRPr="001E3A0E">
        <w:rPr>
          <w:rFonts w:ascii="Times New Roman" w:hAnsi="Times New Roman" w:cs="Times New Roman"/>
          <w:szCs w:val="24"/>
        </w:rPr>
        <w:t xml:space="preserve"> 29</w:t>
      </w:r>
      <w:r w:rsidRPr="001E3A0E">
        <w:rPr>
          <w:rFonts w:ascii="Times New Roman" w:hAnsi="Times New Roman" w:cs="Times New Roman"/>
          <w:b/>
          <w:szCs w:val="24"/>
        </w:rPr>
        <w:t>,</w:t>
      </w:r>
      <w:r w:rsidRPr="001E3A0E">
        <w:rPr>
          <w:rFonts w:ascii="Times New Roman" w:hAnsi="Times New Roman" w:cs="Times New Roman"/>
          <w:szCs w:val="24"/>
        </w:rPr>
        <w:t xml:space="preserve"> 927-933.</w:t>
      </w:r>
    </w:p>
    <w:p w14:paraId="1949DD3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HOOVER, M., ROTERMANN, M., SANMARTIN, C. &amp; BERNIER, J. 2013. Validation of an index to estimate the prevalence of frailty among community-dwelling seniors. </w:t>
      </w:r>
      <w:r w:rsidRPr="001E3A0E">
        <w:rPr>
          <w:rFonts w:ascii="Times New Roman" w:hAnsi="Times New Roman" w:cs="Times New Roman"/>
          <w:i/>
          <w:szCs w:val="24"/>
        </w:rPr>
        <w:t>Health Rep,</w:t>
      </w:r>
      <w:r w:rsidRPr="001E3A0E">
        <w:rPr>
          <w:rFonts w:ascii="Times New Roman" w:hAnsi="Times New Roman" w:cs="Times New Roman"/>
          <w:szCs w:val="24"/>
        </w:rPr>
        <w:t xml:space="preserve"> 24</w:t>
      </w:r>
      <w:r w:rsidRPr="001E3A0E">
        <w:rPr>
          <w:rFonts w:ascii="Times New Roman" w:hAnsi="Times New Roman" w:cs="Times New Roman"/>
          <w:b/>
          <w:szCs w:val="24"/>
        </w:rPr>
        <w:t>,</w:t>
      </w:r>
      <w:r w:rsidRPr="001E3A0E">
        <w:rPr>
          <w:rFonts w:ascii="Times New Roman" w:hAnsi="Times New Roman" w:cs="Times New Roman"/>
          <w:szCs w:val="24"/>
        </w:rPr>
        <w:t xml:space="preserve"> 10-7.</w:t>
      </w:r>
    </w:p>
    <w:p w14:paraId="41B8A10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HUBBARD, R., SEARLE, S., MITNITSKI, A. &amp; ROCKWOOD, K. 2009. Effect of smoking on the accumulation of deficits, frailty and survival in older adults: a secondary analysis from the Canadian Study of Health and Aging. </w:t>
      </w:r>
      <w:r w:rsidRPr="001E3A0E">
        <w:rPr>
          <w:rFonts w:ascii="Times New Roman" w:hAnsi="Times New Roman" w:cs="Times New Roman"/>
          <w:i/>
          <w:szCs w:val="24"/>
        </w:rPr>
        <w:t>JNHA-The Journal of Nutrition, Health and Aging,</w:t>
      </w:r>
      <w:r w:rsidRPr="001E3A0E">
        <w:rPr>
          <w:rFonts w:ascii="Times New Roman" w:hAnsi="Times New Roman" w:cs="Times New Roman"/>
          <w:szCs w:val="24"/>
        </w:rPr>
        <w:t xml:space="preserve"> 13</w:t>
      </w:r>
      <w:r w:rsidRPr="001E3A0E">
        <w:rPr>
          <w:rFonts w:ascii="Times New Roman" w:hAnsi="Times New Roman" w:cs="Times New Roman"/>
          <w:b/>
          <w:szCs w:val="24"/>
        </w:rPr>
        <w:t>,</w:t>
      </w:r>
      <w:r w:rsidRPr="001E3A0E">
        <w:rPr>
          <w:rFonts w:ascii="Times New Roman" w:hAnsi="Times New Roman" w:cs="Times New Roman"/>
          <w:szCs w:val="24"/>
        </w:rPr>
        <w:t xml:space="preserve"> 468-472.</w:t>
      </w:r>
    </w:p>
    <w:p w14:paraId="63069B2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HUBBARD, R. E., LANG, I. A., LLEWELLYN, D. J. &amp; ROCKWOOD, K. 2010. Frailty, body mass index, and abdominal obesity in older people. </w:t>
      </w:r>
      <w:r w:rsidRPr="001E3A0E">
        <w:rPr>
          <w:rFonts w:ascii="Times New Roman" w:hAnsi="Times New Roman" w:cs="Times New Roman"/>
          <w:i/>
          <w:szCs w:val="24"/>
        </w:rPr>
        <w:t>Journals of Gerontology Series A: Biomedical Sciences and Medical Sciences,</w:t>
      </w:r>
      <w:r w:rsidRPr="001E3A0E">
        <w:rPr>
          <w:rFonts w:ascii="Times New Roman" w:hAnsi="Times New Roman" w:cs="Times New Roman"/>
          <w:szCs w:val="24"/>
        </w:rPr>
        <w:t xml:space="preserve"> 65</w:t>
      </w:r>
      <w:r w:rsidRPr="001E3A0E">
        <w:rPr>
          <w:rFonts w:ascii="Times New Roman" w:hAnsi="Times New Roman" w:cs="Times New Roman"/>
          <w:b/>
          <w:szCs w:val="24"/>
        </w:rPr>
        <w:t>,</w:t>
      </w:r>
      <w:r w:rsidRPr="001E3A0E">
        <w:rPr>
          <w:rFonts w:ascii="Times New Roman" w:hAnsi="Times New Roman" w:cs="Times New Roman"/>
          <w:szCs w:val="24"/>
        </w:rPr>
        <w:t xml:space="preserve"> 377-381.</w:t>
      </w:r>
    </w:p>
    <w:p w14:paraId="0F7A180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HYDE, Z., FLICKER, L., SMITH, K., ATKINSON, D., FENNER, S., SKEAF, L., MALAY, R. &amp; LO GIUDICE, D. 2016. Prevalence and incidence of frailty in Aboriginal Australians, and associations with mortality and disability. </w:t>
      </w:r>
      <w:r w:rsidRPr="001E3A0E">
        <w:rPr>
          <w:rFonts w:ascii="Times New Roman" w:hAnsi="Times New Roman" w:cs="Times New Roman"/>
          <w:i/>
          <w:szCs w:val="24"/>
        </w:rPr>
        <w:t>Maturitas,</w:t>
      </w:r>
      <w:r w:rsidRPr="001E3A0E">
        <w:rPr>
          <w:rFonts w:ascii="Times New Roman" w:hAnsi="Times New Roman" w:cs="Times New Roman"/>
          <w:szCs w:val="24"/>
        </w:rPr>
        <w:t xml:space="preserve"> 87</w:t>
      </w:r>
      <w:r w:rsidRPr="001E3A0E">
        <w:rPr>
          <w:rFonts w:ascii="Times New Roman" w:hAnsi="Times New Roman" w:cs="Times New Roman"/>
          <w:b/>
          <w:szCs w:val="24"/>
        </w:rPr>
        <w:t>,</w:t>
      </w:r>
      <w:r w:rsidRPr="001E3A0E">
        <w:rPr>
          <w:rFonts w:ascii="Times New Roman" w:hAnsi="Times New Roman" w:cs="Times New Roman"/>
          <w:szCs w:val="24"/>
        </w:rPr>
        <w:t xml:space="preserve"> 89-94.</w:t>
      </w:r>
    </w:p>
    <w:p w14:paraId="59F9AD7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ICHIMURA, H., SHIMIZUTANI, S. &amp; HASHIMOTO, H. 2009. JSTAR first results 2009 report. Research Institute of Economy, Trade and Industry (RIETI).</w:t>
      </w:r>
    </w:p>
    <w:p w14:paraId="5A80D35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JAZBAR, J., LOCATELLI, I. &amp; KOS, M. 2021. The association between medication or alcohol use and the incidence of frailty: a retrospective cohort study.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21</w:t>
      </w:r>
      <w:r w:rsidRPr="001E3A0E">
        <w:rPr>
          <w:rFonts w:ascii="Times New Roman" w:hAnsi="Times New Roman" w:cs="Times New Roman"/>
          <w:b/>
          <w:szCs w:val="24"/>
        </w:rPr>
        <w:t>,</w:t>
      </w:r>
      <w:r w:rsidRPr="001E3A0E">
        <w:rPr>
          <w:rFonts w:ascii="Times New Roman" w:hAnsi="Times New Roman" w:cs="Times New Roman"/>
          <w:szCs w:val="24"/>
        </w:rPr>
        <w:t xml:space="preserve"> 25.</w:t>
      </w:r>
    </w:p>
    <w:p w14:paraId="1B39CA3E"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JUNG, H.-W., KIM, S.-W., AHN, S., LIM, J.-Y., HAN, J.-W., KIM, T.-H., KIM, K.-W., KIM, K.-I. &amp; KIM, C.-H. 2014. Prevalence and outcomes of frailty in Korean elderly population: comparisons of a multidimensional frailty index with two phenotype models. </w:t>
      </w:r>
      <w:r w:rsidRPr="001E3A0E">
        <w:rPr>
          <w:rFonts w:ascii="Times New Roman" w:hAnsi="Times New Roman" w:cs="Times New Roman"/>
          <w:i/>
          <w:szCs w:val="24"/>
        </w:rPr>
        <w:t>PLoS ONE [Electronic Resource],</w:t>
      </w:r>
      <w:r w:rsidRPr="001E3A0E">
        <w:rPr>
          <w:rFonts w:ascii="Times New Roman" w:hAnsi="Times New Roman" w:cs="Times New Roman"/>
          <w:szCs w:val="24"/>
        </w:rPr>
        <w:t xml:space="preserve"> 9</w:t>
      </w:r>
      <w:r w:rsidRPr="001E3A0E">
        <w:rPr>
          <w:rFonts w:ascii="Times New Roman" w:hAnsi="Times New Roman" w:cs="Times New Roman"/>
          <w:b/>
          <w:szCs w:val="24"/>
        </w:rPr>
        <w:t>,</w:t>
      </w:r>
      <w:r w:rsidRPr="001E3A0E">
        <w:rPr>
          <w:rFonts w:ascii="Times New Roman" w:hAnsi="Times New Roman" w:cs="Times New Roman"/>
          <w:szCs w:val="24"/>
        </w:rPr>
        <w:t xml:space="preserve"> e87958.</w:t>
      </w:r>
    </w:p>
    <w:p w14:paraId="1310612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KAMARUZZAMAN, S., PLOUBIDIS, G. B., FLETCHER, A. &amp; EBRAHIM, S. 2010. A reliable measure of frailty for a community dwelling older population. </w:t>
      </w:r>
      <w:r w:rsidRPr="001E3A0E">
        <w:rPr>
          <w:rFonts w:ascii="Times New Roman" w:hAnsi="Times New Roman" w:cs="Times New Roman"/>
          <w:i/>
          <w:szCs w:val="24"/>
        </w:rPr>
        <w:t>Health and quality of life outcomes,</w:t>
      </w:r>
      <w:r w:rsidRPr="001E3A0E">
        <w:rPr>
          <w:rFonts w:ascii="Times New Roman" w:hAnsi="Times New Roman" w:cs="Times New Roman"/>
          <w:szCs w:val="24"/>
        </w:rPr>
        <w:t xml:space="preserve"> 8</w:t>
      </w:r>
      <w:r w:rsidRPr="001E3A0E">
        <w:rPr>
          <w:rFonts w:ascii="Times New Roman" w:hAnsi="Times New Roman" w:cs="Times New Roman"/>
          <w:b/>
          <w:szCs w:val="24"/>
        </w:rPr>
        <w:t>,</w:t>
      </w:r>
      <w:r w:rsidRPr="001E3A0E">
        <w:rPr>
          <w:rFonts w:ascii="Times New Roman" w:hAnsi="Times New Roman" w:cs="Times New Roman"/>
          <w:szCs w:val="24"/>
        </w:rPr>
        <w:t xml:space="preserve"> 1-14.</w:t>
      </w:r>
    </w:p>
    <w:p w14:paraId="766ACFB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KEARNEY, P. M., CRONIN, H., O'REGAN, C., KAMIYA, Y., SAVVA, G. M., WHELAN, B. &amp; KENNY, R. 2011. Cohort Profile: The Irish Longitudinal Study on Ageing. </w:t>
      </w:r>
      <w:r w:rsidRPr="001E3A0E">
        <w:rPr>
          <w:rFonts w:ascii="Times New Roman" w:hAnsi="Times New Roman" w:cs="Times New Roman"/>
          <w:i/>
          <w:szCs w:val="24"/>
        </w:rPr>
        <w:t>International Journal of Epidemiology,</w:t>
      </w:r>
      <w:r w:rsidRPr="001E3A0E">
        <w:rPr>
          <w:rFonts w:ascii="Times New Roman" w:hAnsi="Times New Roman" w:cs="Times New Roman"/>
          <w:szCs w:val="24"/>
        </w:rPr>
        <w:t xml:space="preserve"> 40</w:t>
      </w:r>
      <w:r w:rsidRPr="001E3A0E">
        <w:rPr>
          <w:rFonts w:ascii="Times New Roman" w:hAnsi="Times New Roman" w:cs="Times New Roman"/>
          <w:b/>
          <w:szCs w:val="24"/>
        </w:rPr>
        <w:t>,</w:t>
      </w:r>
      <w:r w:rsidRPr="001E3A0E">
        <w:rPr>
          <w:rFonts w:ascii="Times New Roman" w:hAnsi="Times New Roman" w:cs="Times New Roman"/>
          <w:szCs w:val="24"/>
        </w:rPr>
        <w:t xml:space="preserve"> 877-884.</w:t>
      </w:r>
    </w:p>
    <w:p w14:paraId="7AB0213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KOJIMA, G. 2016. Frailty as a predictor of hospitalisation among community-dwelling older people: a systematic review and meta-analysis. </w:t>
      </w:r>
      <w:r w:rsidRPr="001E3A0E">
        <w:rPr>
          <w:rFonts w:ascii="Times New Roman" w:hAnsi="Times New Roman" w:cs="Times New Roman"/>
          <w:i/>
          <w:szCs w:val="24"/>
        </w:rPr>
        <w:t>Journal of Epidemiology and Community Health,</w:t>
      </w:r>
      <w:r w:rsidRPr="001E3A0E">
        <w:rPr>
          <w:rFonts w:ascii="Times New Roman" w:hAnsi="Times New Roman" w:cs="Times New Roman"/>
          <w:szCs w:val="24"/>
        </w:rPr>
        <w:t xml:space="preserve"> 70</w:t>
      </w:r>
      <w:r w:rsidRPr="001E3A0E">
        <w:rPr>
          <w:rFonts w:ascii="Times New Roman" w:hAnsi="Times New Roman" w:cs="Times New Roman"/>
          <w:b/>
          <w:szCs w:val="24"/>
        </w:rPr>
        <w:t>,</w:t>
      </w:r>
      <w:r w:rsidRPr="001E3A0E">
        <w:rPr>
          <w:rFonts w:ascii="Times New Roman" w:hAnsi="Times New Roman" w:cs="Times New Roman"/>
          <w:szCs w:val="24"/>
        </w:rPr>
        <w:t xml:space="preserve"> 722-729.</w:t>
      </w:r>
    </w:p>
    <w:p w14:paraId="51F7CEA4"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KOJIMA, G., ILIFFE, S. &amp; WALTERS, K. 2018. Frailty index as a predictor of mortality: a systematic review and meta-analysis. </w:t>
      </w:r>
      <w:r w:rsidRPr="001E3A0E">
        <w:rPr>
          <w:rFonts w:ascii="Times New Roman" w:hAnsi="Times New Roman" w:cs="Times New Roman"/>
          <w:i/>
          <w:szCs w:val="24"/>
        </w:rPr>
        <w:t>Age and Ageing,</w:t>
      </w:r>
      <w:r w:rsidRPr="001E3A0E">
        <w:rPr>
          <w:rFonts w:ascii="Times New Roman" w:hAnsi="Times New Roman" w:cs="Times New Roman"/>
          <w:szCs w:val="24"/>
        </w:rPr>
        <w:t xml:space="preserve"> 47</w:t>
      </w:r>
      <w:r w:rsidRPr="001E3A0E">
        <w:rPr>
          <w:rFonts w:ascii="Times New Roman" w:hAnsi="Times New Roman" w:cs="Times New Roman"/>
          <w:b/>
          <w:szCs w:val="24"/>
        </w:rPr>
        <w:t>,</w:t>
      </w:r>
      <w:r w:rsidRPr="001E3A0E">
        <w:rPr>
          <w:rFonts w:ascii="Times New Roman" w:hAnsi="Times New Roman" w:cs="Times New Roman"/>
          <w:szCs w:val="24"/>
        </w:rPr>
        <w:t xml:space="preserve"> 193-200.</w:t>
      </w:r>
    </w:p>
    <w:p w14:paraId="2ABF4D4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KOJIMA, G., TANIGUCHI, Y., ILIFFE, S., JIVRAJ, S. &amp; WALTERS, K. 2019. Transitions between frailty states among community-dwelling older people: a systematic review and meta-analysis. </w:t>
      </w:r>
      <w:r w:rsidRPr="001E3A0E">
        <w:rPr>
          <w:rFonts w:ascii="Times New Roman" w:hAnsi="Times New Roman" w:cs="Times New Roman"/>
          <w:i/>
          <w:szCs w:val="24"/>
        </w:rPr>
        <w:t>Ageing research reviews,</w:t>
      </w:r>
      <w:r w:rsidRPr="001E3A0E">
        <w:rPr>
          <w:rFonts w:ascii="Times New Roman" w:hAnsi="Times New Roman" w:cs="Times New Roman"/>
          <w:szCs w:val="24"/>
        </w:rPr>
        <w:t xml:space="preserve"> 50</w:t>
      </w:r>
      <w:r w:rsidRPr="001E3A0E">
        <w:rPr>
          <w:rFonts w:ascii="Times New Roman" w:hAnsi="Times New Roman" w:cs="Times New Roman"/>
          <w:b/>
          <w:szCs w:val="24"/>
        </w:rPr>
        <w:t>,</w:t>
      </w:r>
      <w:r w:rsidRPr="001E3A0E">
        <w:rPr>
          <w:rFonts w:ascii="Times New Roman" w:hAnsi="Times New Roman" w:cs="Times New Roman"/>
          <w:szCs w:val="24"/>
        </w:rPr>
        <w:t xml:space="preserve"> 81-88.</w:t>
      </w:r>
    </w:p>
    <w:p w14:paraId="0805A07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LEE, J. S., AUYEUNG, T.-W., LEUNG, J., KWOK, T. &amp; WOO, J. 2014. Transitions in frailty states among community-living older adults and their associated factors. </w:t>
      </w:r>
      <w:r w:rsidRPr="001E3A0E">
        <w:rPr>
          <w:rFonts w:ascii="Times New Roman" w:hAnsi="Times New Roman" w:cs="Times New Roman"/>
          <w:i/>
          <w:szCs w:val="24"/>
        </w:rPr>
        <w:t>Journal of the American Medical Directors Association,</w:t>
      </w:r>
      <w:r w:rsidRPr="001E3A0E">
        <w:rPr>
          <w:rFonts w:ascii="Times New Roman" w:hAnsi="Times New Roman" w:cs="Times New Roman"/>
          <w:szCs w:val="24"/>
        </w:rPr>
        <w:t xml:space="preserve"> 15</w:t>
      </w:r>
      <w:r w:rsidRPr="001E3A0E">
        <w:rPr>
          <w:rFonts w:ascii="Times New Roman" w:hAnsi="Times New Roman" w:cs="Times New Roman"/>
          <w:b/>
          <w:szCs w:val="24"/>
        </w:rPr>
        <w:t>,</w:t>
      </w:r>
      <w:r w:rsidRPr="001E3A0E">
        <w:rPr>
          <w:rFonts w:ascii="Times New Roman" w:hAnsi="Times New Roman" w:cs="Times New Roman"/>
          <w:szCs w:val="24"/>
        </w:rPr>
        <w:t xml:space="preserve"> 281-286.</w:t>
      </w:r>
    </w:p>
    <w:p w14:paraId="5AEA1474"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LEE, S. J., LINDQUIST, K., SEGAL, M. R. &amp; COVINSKY, K. E. 2006. Development and validation of a prognostic index for 4-year mortality in older adults. </w:t>
      </w:r>
      <w:r w:rsidRPr="001E3A0E">
        <w:rPr>
          <w:rFonts w:ascii="Times New Roman" w:hAnsi="Times New Roman" w:cs="Times New Roman"/>
          <w:i/>
          <w:szCs w:val="24"/>
        </w:rPr>
        <w:t>Jama,</w:t>
      </w:r>
      <w:r w:rsidRPr="001E3A0E">
        <w:rPr>
          <w:rFonts w:ascii="Times New Roman" w:hAnsi="Times New Roman" w:cs="Times New Roman"/>
          <w:szCs w:val="24"/>
        </w:rPr>
        <w:t xml:space="preserve"> 295</w:t>
      </w:r>
      <w:r w:rsidRPr="001E3A0E">
        <w:rPr>
          <w:rFonts w:ascii="Times New Roman" w:hAnsi="Times New Roman" w:cs="Times New Roman"/>
          <w:b/>
          <w:szCs w:val="24"/>
        </w:rPr>
        <w:t>,</w:t>
      </w:r>
      <w:r w:rsidRPr="001E3A0E">
        <w:rPr>
          <w:rFonts w:ascii="Times New Roman" w:hAnsi="Times New Roman" w:cs="Times New Roman"/>
          <w:szCs w:val="24"/>
        </w:rPr>
        <w:t xml:space="preserve"> 801-808.</w:t>
      </w:r>
    </w:p>
    <w:p w14:paraId="611F7F74"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LI, G. W., PAPAIOANNOU, A., THABANE, L., CHENG, J. &amp; ADACHI, J. D. 2016. Frailty Change and Major Osteoporotic Fracture in the Elderly: Data from the Global Longitudinal Study of Osteoporosis in Women 3-Year Hamilton Cohort. </w:t>
      </w:r>
      <w:r w:rsidRPr="001E3A0E">
        <w:rPr>
          <w:rFonts w:ascii="Times New Roman" w:hAnsi="Times New Roman" w:cs="Times New Roman"/>
          <w:i/>
          <w:szCs w:val="24"/>
        </w:rPr>
        <w:t>Journal of Bone and Mineral Research,</w:t>
      </w:r>
      <w:r w:rsidRPr="001E3A0E">
        <w:rPr>
          <w:rFonts w:ascii="Times New Roman" w:hAnsi="Times New Roman" w:cs="Times New Roman"/>
          <w:szCs w:val="24"/>
        </w:rPr>
        <w:t xml:space="preserve"> 31</w:t>
      </w:r>
      <w:r w:rsidRPr="001E3A0E">
        <w:rPr>
          <w:rFonts w:ascii="Times New Roman" w:hAnsi="Times New Roman" w:cs="Times New Roman"/>
          <w:b/>
          <w:szCs w:val="24"/>
        </w:rPr>
        <w:t>,</w:t>
      </w:r>
      <w:r w:rsidRPr="001E3A0E">
        <w:rPr>
          <w:rFonts w:ascii="Times New Roman" w:hAnsi="Times New Roman" w:cs="Times New Roman"/>
          <w:szCs w:val="24"/>
        </w:rPr>
        <w:t xml:space="preserve"> 718-724.</w:t>
      </w:r>
    </w:p>
    <w:p w14:paraId="106972C4"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LIU, Z.-Y., WEI, Y.-Z., WEI, L.-Q., JIANG, X.-Y., WANG, X.-F., SHI, Y. &amp; HAI, H. 2018. Frailty transitions and types of death in Chinese older adults: a population-based cohort study. </w:t>
      </w:r>
      <w:r w:rsidRPr="001E3A0E">
        <w:rPr>
          <w:rFonts w:ascii="Times New Roman" w:hAnsi="Times New Roman" w:cs="Times New Roman"/>
          <w:i/>
          <w:szCs w:val="24"/>
        </w:rPr>
        <w:t>Clinical Interventions In Aging,</w:t>
      </w:r>
      <w:r w:rsidRPr="001E3A0E">
        <w:rPr>
          <w:rFonts w:ascii="Times New Roman" w:hAnsi="Times New Roman" w:cs="Times New Roman"/>
          <w:szCs w:val="24"/>
        </w:rPr>
        <w:t xml:space="preserve"> 13</w:t>
      </w:r>
      <w:r w:rsidRPr="001E3A0E">
        <w:rPr>
          <w:rFonts w:ascii="Times New Roman" w:hAnsi="Times New Roman" w:cs="Times New Roman"/>
          <w:b/>
          <w:szCs w:val="24"/>
        </w:rPr>
        <w:t>,</w:t>
      </w:r>
      <w:r w:rsidRPr="001E3A0E">
        <w:rPr>
          <w:rFonts w:ascii="Times New Roman" w:hAnsi="Times New Roman" w:cs="Times New Roman"/>
          <w:szCs w:val="24"/>
        </w:rPr>
        <w:t xml:space="preserve"> 947-956.</w:t>
      </w:r>
    </w:p>
    <w:p w14:paraId="386472B7"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MA, L., WANG, J., TANG, Z. &amp; CHAN, P. 2018. Simple Physical Activity Index Predicts Prognosis in Older Adults: Beijing Longitudinal Study of Aging. </w:t>
      </w:r>
      <w:r w:rsidRPr="001E3A0E">
        <w:rPr>
          <w:rFonts w:ascii="Times New Roman" w:hAnsi="Times New Roman" w:cs="Times New Roman"/>
          <w:i/>
          <w:szCs w:val="24"/>
        </w:rPr>
        <w:t>Journal of Nutrition, Health &amp; Aging,</w:t>
      </w:r>
      <w:r w:rsidRPr="001E3A0E">
        <w:rPr>
          <w:rFonts w:ascii="Times New Roman" w:hAnsi="Times New Roman" w:cs="Times New Roman"/>
          <w:szCs w:val="24"/>
        </w:rPr>
        <w:t xml:space="preserve"> 22</w:t>
      </w:r>
      <w:r w:rsidRPr="001E3A0E">
        <w:rPr>
          <w:rFonts w:ascii="Times New Roman" w:hAnsi="Times New Roman" w:cs="Times New Roman"/>
          <w:b/>
          <w:szCs w:val="24"/>
        </w:rPr>
        <w:t>,</w:t>
      </w:r>
      <w:r w:rsidRPr="001E3A0E">
        <w:rPr>
          <w:rFonts w:ascii="Times New Roman" w:hAnsi="Times New Roman" w:cs="Times New Roman"/>
          <w:szCs w:val="24"/>
        </w:rPr>
        <w:t xml:space="preserve"> 854-860.</w:t>
      </w:r>
    </w:p>
    <w:p w14:paraId="0091A21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MANSOR, N., AWANG, H. &amp; RASHID, N. F. A. 2019. Malaysia Ageing and Retirement Survey. </w:t>
      </w:r>
      <w:r w:rsidRPr="001E3A0E">
        <w:rPr>
          <w:rFonts w:ascii="Times New Roman" w:hAnsi="Times New Roman" w:cs="Times New Roman"/>
          <w:i/>
          <w:szCs w:val="24"/>
        </w:rPr>
        <w:t>In:</w:t>
      </w:r>
      <w:r w:rsidRPr="001E3A0E">
        <w:rPr>
          <w:rFonts w:ascii="Times New Roman" w:hAnsi="Times New Roman" w:cs="Times New Roman"/>
          <w:szCs w:val="24"/>
        </w:rPr>
        <w:t xml:space="preserve"> GU, D. &amp; DUPRE, M. E. (eds.) </w:t>
      </w:r>
      <w:r w:rsidRPr="001E3A0E">
        <w:rPr>
          <w:rFonts w:ascii="Times New Roman" w:hAnsi="Times New Roman" w:cs="Times New Roman"/>
          <w:i/>
          <w:szCs w:val="24"/>
        </w:rPr>
        <w:t>Encyclopedia of Gerontology and Population Aging.</w:t>
      </w:r>
      <w:r w:rsidRPr="001E3A0E">
        <w:rPr>
          <w:rFonts w:ascii="Times New Roman" w:hAnsi="Times New Roman" w:cs="Times New Roman"/>
          <w:szCs w:val="24"/>
        </w:rPr>
        <w:t xml:space="preserve"> Cham: Springer International Publishing.</w:t>
      </w:r>
    </w:p>
    <w:p w14:paraId="6E03E40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MCGOWAN, J., SAMPSON, M., SALZWEDEL, D. M., COGO, E., FOERSTER, V. &amp; LEFEBVRE, C. 2016. PRESS peer review of electronic search strategies: 2015 guideline statement. </w:t>
      </w:r>
      <w:r w:rsidRPr="001E3A0E">
        <w:rPr>
          <w:rFonts w:ascii="Times New Roman" w:hAnsi="Times New Roman" w:cs="Times New Roman"/>
          <w:i/>
          <w:szCs w:val="24"/>
        </w:rPr>
        <w:t>Journal of clinical epidemiology,</w:t>
      </w:r>
      <w:r w:rsidRPr="001E3A0E">
        <w:rPr>
          <w:rFonts w:ascii="Times New Roman" w:hAnsi="Times New Roman" w:cs="Times New Roman"/>
          <w:szCs w:val="24"/>
        </w:rPr>
        <w:t xml:space="preserve"> 75</w:t>
      </w:r>
      <w:r w:rsidRPr="001E3A0E">
        <w:rPr>
          <w:rFonts w:ascii="Times New Roman" w:hAnsi="Times New Roman" w:cs="Times New Roman"/>
          <w:b/>
          <w:szCs w:val="24"/>
        </w:rPr>
        <w:t>,</w:t>
      </w:r>
      <w:r w:rsidRPr="001E3A0E">
        <w:rPr>
          <w:rFonts w:ascii="Times New Roman" w:hAnsi="Times New Roman" w:cs="Times New Roman"/>
          <w:szCs w:val="24"/>
        </w:rPr>
        <w:t xml:space="preserve"> 40-46.</w:t>
      </w:r>
    </w:p>
    <w:p w14:paraId="264FF00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MITNITSKI, A., BAO, L. &amp; ROCKWOOD, K. 2006. Going from bad to worse: a stochastic model of transitions in deficit accumulation, in relation to mortality. </w:t>
      </w:r>
      <w:r w:rsidRPr="001E3A0E">
        <w:rPr>
          <w:rFonts w:ascii="Times New Roman" w:hAnsi="Times New Roman" w:cs="Times New Roman"/>
          <w:i/>
          <w:szCs w:val="24"/>
        </w:rPr>
        <w:t>Mechanisms of ageing and development,</w:t>
      </w:r>
      <w:r w:rsidRPr="001E3A0E">
        <w:rPr>
          <w:rFonts w:ascii="Times New Roman" w:hAnsi="Times New Roman" w:cs="Times New Roman"/>
          <w:szCs w:val="24"/>
        </w:rPr>
        <w:t xml:space="preserve"> 127</w:t>
      </w:r>
      <w:r w:rsidRPr="001E3A0E">
        <w:rPr>
          <w:rFonts w:ascii="Times New Roman" w:hAnsi="Times New Roman" w:cs="Times New Roman"/>
          <w:b/>
          <w:szCs w:val="24"/>
        </w:rPr>
        <w:t>,</w:t>
      </w:r>
      <w:r w:rsidRPr="001E3A0E">
        <w:rPr>
          <w:rFonts w:ascii="Times New Roman" w:hAnsi="Times New Roman" w:cs="Times New Roman"/>
          <w:szCs w:val="24"/>
        </w:rPr>
        <w:t xml:space="preserve"> 490-493.</w:t>
      </w:r>
    </w:p>
    <w:p w14:paraId="63B8424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MITNITSKI, A. &amp; ROCKWOOD, K. 2015. Aging as a process of deficit accumulation: its utility and origin. </w:t>
      </w:r>
      <w:r w:rsidRPr="001E3A0E">
        <w:rPr>
          <w:rFonts w:ascii="Times New Roman" w:hAnsi="Times New Roman" w:cs="Times New Roman"/>
          <w:i/>
          <w:szCs w:val="24"/>
        </w:rPr>
        <w:t>Interdiscip Top Gerontol,</w:t>
      </w:r>
      <w:r w:rsidRPr="001E3A0E">
        <w:rPr>
          <w:rFonts w:ascii="Times New Roman" w:hAnsi="Times New Roman" w:cs="Times New Roman"/>
          <w:szCs w:val="24"/>
        </w:rPr>
        <w:t xml:space="preserve"> 40</w:t>
      </w:r>
      <w:r w:rsidRPr="001E3A0E">
        <w:rPr>
          <w:rFonts w:ascii="Times New Roman" w:hAnsi="Times New Roman" w:cs="Times New Roman"/>
          <w:b/>
          <w:szCs w:val="24"/>
        </w:rPr>
        <w:t>,</w:t>
      </w:r>
      <w:r w:rsidRPr="001E3A0E">
        <w:rPr>
          <w:rFonts w:ascii="Times New Roman" w:hAnsi="Times New Roman" w:cs="Times New Roman"/>
          <w:szCs w:val="24"/>
        </w:rPr>
        <w:t xml:space="preserve"> 85-98.</w:t>
      </w:r>
    </w:p>
    <w:p w14:paraId="2ED3F37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MITNITSKI, A., SONG, X. &amp; ROCKWOOD, K. 2007. Improvement and decline in health status from late middle age: modeling age-related changes in deficit accumulation. </w:t>
      </w:r>
      <w:r w:rsidRPr="001E3A0E">
        <w:rPr>
          <w:rFonts w:ascii="Times New Roman" w:hAnsi="Times New Roman" w:cs="Times New Roman"/>
          <w:i/>
          <w:szCs w:val="24"/>
        </w:rPr>
        <w:t>Experimental Gerontology,</w:t>
      </w:r>
      <w:r w:rsidRPr="001E3A0E">
        <w:rPr>
          <w:rFonts w:ascii="Times New Roman" w:hAnsi="Times New Roman" w:cs="Times New Roman"/>
          <w:szCs w:val="24"/>
        </w:rPr>
        <w:t xml:space="preserve"> 42</w:t>
      </w:r>
      <w:r w:rsidRPr="001E3A0E">
        <w:rPr>
          <w:rFonts w:ascii="Times New Roman" w:hAnsi="Times New Roman" w:cs="Times New Roman"/>
          <w:b/>
          <w:szCs w:val="24"/>
        </w:rPr>
        <w:t>,</w:t>
      </w:r>
      <w:r w:rsidRPr="001E3A0E">
        <w:rPr>
          <w:rFonts w:ascii="Times New Roman" w:hAnsi="Times New Roman" w:cs="Times New Roman"/>
          <w:szCs w:val="24"/>
        </w:rPr>
        <w:t xml:space="preserve"> 1109-15.</w:t>
      </w:r>
    </w:p>
    <w:p w14:paraId="1430DDC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MITNITSKI, A., SONG, X. &amp; ROCKWOOD, K. 2012. Trajectories of changes over twelve years in the health status of Canadians from late middle age. </w:t>
      </w:r>
      <w:r w:rsidRPr="001E3A0E">
        <w:rPr>
          <w:rFonts w:ascii="Times New Roman" w:hAnsi="Times New Roman" w:cs="Times New Roman"/>
          <w:i/>
          <w:szCs w:val="24"/>
        </w:rPr>
        <w:t>Experimental Gerontology,</w:t>
      </w:r>
      <w:r w:rsidRPr="001E3A0E">
        <w:rPr>
          <w:rFonts w:ascii="Times New Roman" w:hAnsi="Times New Roman" w:cs="Times New Roman"/>
          <w:szCs w:val="24"/>
        </w:rPr>
        <w:t xml:space="preserve"> 47</w:t>
      </w:r>
      <w:r w:rsidRPr="001E3A0E">
        <w:rPr>
          <w:rFonts w:ascii="Times New Roman" w:hAnsi="Times New Roman" w:cs="Times New Roman"/>
          <w:b/>
          <w:szCs w:val="24"/>
        </w:rPr>
        <w:t>,</w:t>
      </w:r>
      <w:r w:rsidRPr="001E3A0E">
        <w:rPr>
          <w:rFonts w:ascii="Times New Roman" w:hAnsi="Times New Roman" w:cs="Times New Roman"/>
          <w:szCs w:val="24"/>
        </w:rPr>
        <w:t xml:space="preserve"> 893-9.</w:t>
      </w:r>
    </w:p>
    <w:p w14:paraId="31B7D25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MITNITSKI, A. B., MOGILNER, A. J. &amp; ROCKWOOD, K. 2001. Accumulation of Deficits as a Proxy Measure of Aging. </w:t>
      </w:r>
      <w:r w:rsidRPr="001E3A0E">
        <w:rPr>
          <w:rFonts w:ascii="Times New Roman" w:hAnsi="Times New Roman" w:cs="Times New Roman"/>
          <w:i/>
          <w:szCs w:val="24"/>
        </w:rPr>
        <w:t>TheScientificWorldJOURNAL,</w:t>
      </w:r>
      <w:r w:rsidRPr="001E3A0E">
        <w:rPr>
          <w:rFonts w:ascii="Times New Roman" w:hAnsi="Times New Roman" w:cs="Times New Roman"/>
          <w:szCs w:val="24"/>
        </w:rPr>
        <w:t xml:space="preserve"> 1</w:t>
      </w:r>
      <w:r w:rsidRPr="001E3A0E">
        <w:rPr>
          <w:rFonts w:ascii="Times New Roman" w:hAnsi="Times New Roman" w:cs="Times New Roman"/>
          <w:b/>
          <w:szCs w:val="24"/>
        </w:rPr>
        <w:t>,</w:t>
      </w:r>
      <w:r w:rsidRPr="001E3A0E">
        <w:rPr>
          <w:rFonts w:ascii="Times New Roman" w:hAnsi="Times New Roman" w:cs="Times New Roman"/>
          <w:szCs w:val="24"/>
        </w:rPr>
        <w:t xml:space="preserve"> 321027.</w:t>
      </w:r>
    </w:p>
    <w:p w14:paraId="740D00EF"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MOHER, D., SHAMSEER, L., CLARKE, M., GHERSI, D., LIBERATI, A., PETTICREW, M., SHEKELLE, P., STEWART, L. A. &amp; GROUP, P.-P. 2015. Preferred reporting items for systematic review and meta-analysis protocols (PRISMA-P) 2015 statement. </w:t>
      </w:r>
      <w:r w:rsidRPr="001E3A0E">
        <w:rPr>
          <w:rFonts w:ascii="Times New Roman" w:hAnsi="Times New Roman" w:cs="Times New Roman"/>
          <w:i/>
          <w:szCs w:val="24"/>
        </w:rPr>
        <w:t>Systematic Reviews,</w:t>
      </w:r>
      <w:r w:rsidRPr="001E3A0E">
        <w:rPr>
          <w:rFonts w:ascii="Times New Roman" w:hAnsi="Times New Roman" w:cs="Times New Roman"/>
          <w:szCs w:val="24"/>
        </w:rPr>
        <w:t xml:space="preserve"> 4</w:t>
      </w:r>
      <w:r w:rsidRPr="001E3A0E">
        <w:rPr>
          <w:rFonts w:ascii="Times New Roman" w:hAnsi="Times New Roman" w:cs="Times New Roman"/>
          <w:b/>
          <w:szCs w:val="24"/>
        </w:rPr>
        <w:t>,</w:t>
      </w:r>
      <w:r w:rsidRPr="001E3A0E">
        <w:rPr>
          <w:rFonts w:ascii="Times New Roman" w:hAnsi="Times New Roman" w:cs="Times New Roman"/>
          <w:szCs w:val="24"/>
        </w:rPr>
        <w:t xml:space="preserve"> 1.</w:t>
      </w:r>
    </w:p>
    <w:p w14:paraId="31E9CCE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NARI, F., JANG, B. N., YOUN, H. M., JEONG, W., JANG, S.-I. &amp; PARK, E.-C. 2021. Frailty transitions and cognitive function among South Korean older adults. </w:t>
      </w:r>
      <w:r w:rsidRPr="001E3A0E">
        <w:rPr>
          <w:rFonts w:ascii="Times New Roman" w:hAnsi="Times New Roman" w:cs="Times New Roman"/>
          <w:i/>
          <w:szCs w:val="24"/>
        </w:rPr>
        <w:t>Scientific reports,</w:t>
      </w:r>
      <w:r w:rsidRPr="001E3A0E">
        <w:rPr>
          <w:rFonts w:ascii="Times New Roman" w:hAnsi="Times New Roman" w:cs="Times New Roman"/>
          <w:szCs w:val="24"/>
        </w:rPr>
        <w:t xml:space="preserve"> 11</w:t>
      </w:r>
      <w:r w:rsidRPr="001E3A0E">
        <w:rPr>
          <w:rFonts w:ascii="Times New Roman" w:hAnsi="Times New Roman" w:cs="Times New Roman"/>
          <w:b/>
          <w:szCs w:val="24"/>
        </w:rPr>
        <w:t>,</w:t>
      </w:r>
      <w:r w:rsidRPr="001E3A0E">
        <w:rPr>
          <w:rFonts w:ascii="Times New Roman" w:hAnsi="Times New Roman" w:cs="Times New Roman"/>
          <w:szCs w:val="24"/>
        </w:rPr>
        <w:t xml:space="preserve"> 1-9.</w:t>
      </w:r>
    </w:p>
    <w:p w14:paraId="7166B25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NIEDERSTRASSER, N. G., ROGERS, N. T. &amp; BANDELOW, S. 2019. Determinants of frailty development and progression using a multidimensional frailty index: Evidence from the English Longitudinal Study of Ageing. </w:t>
      </w:r>
      <w:r w:rsidRPr="001E3A0E">
        <w:rPr>
          <w:rFonts w:ascii="Times New Roman" w:hAnsi="Times New Roman" w:cs="Times New Roman"/>
          <w:i/>
          <w:szCs w:val="24"/>
        </w:rPr>
        <w:t>PLoS ONE [Electronic Resource],</w:t>
      </w:r>
      <w:r w:rsidRPr="001E3A0E">
        <w:rPr>
          <w:rFonts w:ascii="Times New Roman" w:hAnsi="Times New Roman" w:cs="Times New Roman"/>
          <w:szCs w:val="24"/>
        </w:rPr>
        <w:t xml:space="preserve"> 14</w:t>
      </w:r>
      <w:r w:rsidRPr="001E3A0E">
        <w:rPr>
          <w:rFonts w:ascii="Times New Roman" w:hAnsi="Times New Roman" w:cs="Times New Roman"/>
          <w:b/>
          <w:szCs w:val="24"/>
        </w:rPr>
        <w:t>,</w:t>
      </w:r>
      <w:r w:rsidRPr="001E3A0E">
        <w:rPr>
          <w:rFonts w:ascii="Times New Roman" w:hAnsi="Times New Roman" w:cs="Times New Roman"/>
          <w:szCs w:val="24"/>
        </w:rPr>
        <w:t xml:space="preserve"> e0223799.</w:t>
      </w:r>
    </w:p>
    <w:p w14:paraId="0BD4166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NIKOLOVA, S., HULME, C., WEST, R., PENDLETON, N., HEAVEN, A., BOWER, P., HUMPHREY, S., FARRIN, A., CUNDILL, B., HAWKINS, R. &amp; CLEGG, A. 2020. Normative Estimates and Agreement Between 2 Measures of Health-Related Quality of Life in Older People With Frailty: Findings From the Community Ageing Research 75+ Cohort. </w:t>
      </w:r>
      <w:r w:rsidRPr="001E3A0E">
        <w:rPr>
          <w:rFonts w:ascii="Times New Roman" w:hAnsi="Times New Roman" w:cs="Times New Roman"/>
          <w:i/>
          <w:szCs w:val="24"/>
        </w:rPr>
        <w:t>Value in Health,</w:t>
      </w:r>
      <w:r w:rsidRPr="001E3A0E">
        <w:rPr>
          <w:rFonts w:ascii="Times New Roman" w:hAnsi="Times New Roman" w:cs="Times New Roman"/>
          <w:szCs w:val="24"/>
        </w:rPr>
        <w:t xml:space="preserve"> 23</w:t>
      </w:r>
      <w:r w:rsidRPr="001E3A0E">
        <w:rPr>
          <w:rFonts w:ascii="Times New Roman" w:hAnsi="Times New Roman" w:cs="Times New Roman"/>
          <w:b/>
          <w:szCs w:val="24"/>
        </w:rPr>
        <w:t>,</w:t>
      </w:r>
      <w:r w:rsidRPr="001E3A0E">
        <w:rPr>
          <w:rFonts w:ascii="Times New Roman" w:hAnsi="Times New Roman" w:cs="Times New Roman"/>
          <w:szCs w:val="24"/>
        </w:rPr>
        <w:t xml:space="preserve"> 1056-1062.</w:t>
      </w:r>
    </w:p>
    <w:p w14:paraId="626B8DB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OHASHI, M., YODA, T., IMAI, N., FUJII, T., WATANABE, K., TASHI, H., SHIBUYA, Y., WATANABE, J. &amp; ENDO, N. 2021. Five-year longitudinal study of frailty prevalence and course assessed using the Kihon Checklist among community-dwelling older adults in Japan. </w:t>
      </w:r>
      <w:r w:rsidRPr="001E3A0E">
        <w:rPr>
          <w:rFonts w:ascii="Times New Roman" w:hAnsi="Times New Roman" w:cs="Times New Roman"/>
          <w:i/>
          <w:szCs w:val="24"/>
        </w:rPr>
        <w:t>Scientific Reports,</w:t>
      </w:r>
      <w:r w:rsidRPr="001E3A0E">
        <w:rPr>
          <w:rFonts w:ascii="Times New Roman" w:hAnsi="Times New Roman" w:cs="Times New Roman"/>
          <w:szCs w:val="24"/>
        </w:rPr>
        <w:t xml:space="preserve"> 11</w:t>
      </w:r>
      <w:r w:rsidRPr="001E3A0E">
        <w:rPr>
          <w:rFonts w:ascii="Times New Roman" w:hAnsi="Times New Roman" w:cs="Times New Roman"/>
          <w:b/>
          <w:szCs w:val="24"/>
        </w:rPr>
        <w:t>,</w:t>
      </w:r>
      <w:r w:rsidRPr="001E3A0E">
        <w:rPr>
          <w:rFonts w:ascii="Times New Roman" w:hAnsi="Times New Roman" w:cs="Times New Roman"/>
          <w:szCs w:val="24"/>
        </w:rPr>
        <w:t xml:space="preserve"> 12399.</w:t>
      </w:r>
    </w:p>
    <w:p w14:paraId="532940D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OUZZANI, M., HAMMADY, H., FEDOROWICZ, Z. &amp; ELMAGARMID, A. 2016. Rayyan—a web and mobile app for systematic reviews. </w:t>
      </w:r>
      <w:r w:rsidRPr="001E3A0E">
        <w:rPr>
          <w:rFonts w:ascii="Times New Roman" w:hAnsi="Times New Roman" w:cs="Times New Roman"/>
          <w:i/>
          <w:szCs w:val="24"/>
        </w:rPr>
        <w:t>Systematic Reviews,</w:t>
      </w:r>
      <w:r w:rsidRPr="001E3A0E">
        <w:rPr>
          <w:rFonts w:ascii="Times New Roman" w:hAnsi="Times New Roman" w:cs="Times New Roman"/>
          <w:szCs w:val="24"/>
        </w:rPr>
        <w:t xml:space="preserve"> 5</w:t>
      </w:r>
      <w:r w:rsidRPr="001E3A0E">
        <w:rPr>
          <w:rFonts w:ascii="Times New Roman" w:hAnsi="Times New Roman" w:cs="Times New Roman"/>
          <w:b/>
          <w:szCs w:val="24"/>
        </w:rPr>
        <w:t>,</w:t>
      </w:r>
      <w:r w:rsidRPr="001E3A0E">
        <w:rPr>
          <w:rFonts w:ascii="Times New Roman" w:hAnsi="Times New Roman" w:cs="Times New Roman"/>
          <w:szCs w:val="24"/>
        </w:rPr>
        <w:t xml:space="preserve"> 210.</w:t>
      </w:r>
    </w:p>
    <w:p w14:paraId="70AA106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OZMEN, C., DENIZ, A., GUNAY, I., UNAL, I., CELIK, A. I., CAGLIYAN, C. E., DEVECI, O. S., DEMIR, M., KANADASI, M. &amp; USAL, A. 2020. Frailty Significantly Associated with a Risk for Mid-term Outcomes in Elderly Chronic Coronary Syndrome Patients: a Prospective Study. </w:t>
      </w:r>
      <w:r w:rsidRPr="001E3A0E">
        <w:rPr>
          <w:rFonts w:ascii="Times New Roman" w:hAnsi="Times New Roman" w:cs="Times New Roman"/>
          <w:i/>
          <w:szCs w:val="24"/>
        </w:rPr>
        <w:t>Brazilian Journal of Cardiovascular Surgery,</w:t>
      </w:r>
      <w:r w:rsidRPr="001E3A0E">
        <w:rPr>
          <w:rFonts w:ascii="Times New Roman" w:hAnsi="Times New Roman" w:cs="Times New Roman"/>
          <w:szCs w:val="24"/>
        </w:rPr>
        <w:t xml:space="preserve"> 35</w:t>
      </w:r>
      <w:r w:rsidRPr="001E3A0E">
        <w:rPr>
          <w:rFonts w:ascii="Times New Roman" w:hAnsi="Times New Roman" w:cs="Times New Roman"/>
          <w:b/>
          <w:szCs w:val="24"/>
        </w:rPr>
        <w:t>,</w:t>
      </w:r>
      <w:r w:rsidRPr="001E3A0E">
        <w:rPr>
          <w:rFonts w:ascii="Times New Roman" w:hAnsi="Times New Roman" w:cs="Times New Roman"/>
          <w:szCs w:val="24"/>
        </w:rPr>
        <w:t xml:space="preserve"> 897-905.</w:t>
      </w:r>
    </w:p>
    <w:p w14:paraId="474479D7"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PERIANAYAGAM, A., BLOOM, D. E., LEE, J., SEKHER, T. V., MOHANTY, S. K. &amp; AGARWAL, A. 2019. Longitudinal Aging Study in India. </w:t>
      </w:r>
      <w:r w:rsidRPr="001E3A0E">
        <w:rPr>
          <w:rFonts w:ascii="Times New Roman" w:hAnsi="Times New Roman" w:cs="Times New Roman"/>
          <w:i/>
          <w:szCs w:val="24"/>
        </w:rPr>
        <w:t>In:</w:t>
      </w:r>
      <w:r w:rsidRPr="001E3A0E">
        <w:rPr>
          <w:rFonts w:ascii="Times New Roman" w:hAnsi="Times New Roman" w:cs="Times New Roman"/>
          <w:szCs w:val="24"/>
        </w:rPr>
        <w:t xml:space="preserve"> GU, D. &amp; DUPRE, M. E. (eds.) </w:t>
      </w:r>
      <w:r w:rsidRPr="001E3A0E">
        <w:rPr>
          <w:rFonts w:ascii="Times New Roman" w:hAnsi="Times New Roman" w:cs="Times New Roman"/>
          <w:i/>
          <w:szCs w:val="24"/>
        </w:rPr>
        <w:t>Encyclopedia of Gerontology and Population Aging.</w:t>
      </w:r>
      <w:r w:rsidRPr="001E3A0E">
        <w:rPr>
          <w:rFonts w:ascii="Times New Roman" w:hAnsi="Times New Roman" w:cs="Times New Roman"/>
          <w:szCs w:val="24"/>
        </w:rPr>
        <w:t xml:space="preserve"> Cham: Springer International Publishing.</w:t>
      </w:r>
    </w:p>
    <w:p w14:paraId="290303F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ROCKWOOD, K., ANDREW, M. &amp; MITNITSKI, A. 2007. A comparison of two approaches to measuring frailty in elderly people. </w:t>
      </w:r>
      <w:r w:rsidRPr="001E3A0E">
        <w:rPr>
          <w:rFonts w:ascii="Times New Roman" w:hAnsi="Times New Roman" w:cs="Times New Roman"/>
          <w:i/>
          <w:szCs w:val="24"/>
        </w:rPr>
        <w:t>Journals of Gerontology Series a-Biological Sciences and Medical Sciences,</w:t>
      </w:r>
      <w:r w:rsidRPr="001E3A0E">
        <w:rPr>
          <w:rFonts w:ascii="Times New Roman" w:hAnsi="Times New Roman" w:cs="Times New Roman"/>
          <w:szCs w:val="24"/>
        </w:rPr>
        <w:t xml:space="preserve"> 62</w:t>
      </w:r>
      <w:r w:rsidRPr="001E3A0E">
        <w:rPr>
          <w:rFonts w:ascii="Times New Roman" w:hAnsi="Times New Roman" w:cs="Times New Roman"/>
          <w:b/>
          <w:szCs w:val="24"/>
        </w:rPr>
        <w:t>,</w:t>
      </w:r>
      <w:r w:rsidRPr="001E3A0E">
        <w:rPr>
          <w:rFonts w:ascii="Times New Roman" w:hAnsi="Times New Roman" w:cs="Times New Roman"/>
          <w:szCs w:val="24"/>
        </w:rPr>
        <w:t xml:space="preserve"> 738-743.</w:t>
      </w:r>
    </w:p>
    <w:p w14:paraId="73BB48C2"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ROGERS, N. T. &amp; FANCOURT, D. 2020. Cultural Engagement Is a Risk-Reducing Factor for Frailty Incidence and Progression. </w:t>
      </w:r>
      <w:r w:rsidRPr="001E3A0E">
        <w:rPr>
          <w:rFonts w:ascii="Times New Roman" w:hAnsi="Times New Roman" w:cs="Times New Roman"/>
          <w:i/>
          <w:szCs w:val="24"/>
        </w:rPr>
        <w:t>Journals of Gerontology Series B-Psychological Sciences &amp; Social Sciences,</w:t>
      </w:r>
      <w:r w:rsidRPr="001E3A0E">
        <w:rPr>
          <w:rFonts w:ascii="Times New Roman" w:hAnsi="Times New Roman" w:cs="Times New Roman"/>
          <w:szCs w:val="24"/>
        </w:rPr>
        <w:t xml:space="preserve"> 75</w:t>
      </w:r>
      <w:r w:rsidRPr="001E3A0E">
        <w:rPr>
          <w:rFonts w:ascii="Times New Roman" w:hAnsi="Times New Roman" w:cs="Times New Roman"/>
          <w:b/>
          <w:szCs w:val="24"/>
        </w:rPr>
        <w:t>,</w:t>
      </w:r>
      <w:r w:rsidRPr="001E3A0E">
        <w:rPr>
          <w:rFonts w:ascii="Times New Roman" w:hAnsi="Times New Roman" w:cs="Times New Roman"/>
          <w:szCs w:val="24"/>
        </w:rPr>
        <w:t xml:space="preserve"> 571-576.</w:t>
      </w:r>
    </w:p>
    <w:p w14:paraId="72E31F41"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ROGERS, N. T., MARSHALL, A., ROBERTS, C. H., DEMAKAKOS, P., STEPTOE, A. &amp; SCHOLES, S. 2017a. Physical activity and trajectories of frailty among older adults: Evidence from the English Longitudinal Study of Ageing. </w:t>
      </w:r>
      <w:r w:rsidRPr="001E3A0E">
        <w:rPr>
          <w:rFonts w:ascii="Times New Roman" w:hAnsi="Times New Roman" w:cs="Times New Roman"/>
          <w:i/>
          <w:szCs w:val="24"/>
        </w:rPr>
        <w:t>PloS one,</w:t>
      </w:r>
      <w:r w:rsidRPr="001E3A0E">
        <w:rPr>
          <w:rFonts w:ascii="Times New Roman" w:hAnsi="Times New Roman" w:cs="Times New Roman"/>
          <w:szCs w:val="24"/>
        </w:rPr>
        <w:t xml:space="preserve"> 12</w:t>
      </w:r>
      <w:r w:rsidRPr="001E3A0E">
        <w:rPr>
          <w:rFonts w:ascii="Times New Roman" w:hAnsi="Times New Roman" w:cs="Times New Roman"/>
          <w:b/>
          <w:szCs w:val="24"/>
        </w:rPr>
        <w:t>,</w:t>
      </w:r>
      <w:r w:rsidRPr="001E3A0E">
        <w:rPr>
          <w:rFonts w:ascii="Times New Roman" w:hAnsi="Times New Roman" w:cs="Times New Roman"/>
          <w:szCs w:val="24"/>
        </w:rPr>
        <w:t xml:space="preserve"> e0170878.</w:t>
      </w:r>
    </w:p>
    <w:p w14:paraId="0E32E64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ROGERS, N. T., STEPTOE, A. &amp; CADAR, D. 2017b. Frailty is an independent predictor of incident dementia: evidence from the English Longitudinal Study of Ageing. </w:t>
      </w:r>
      <w:r w:rsidRPr="001E3A0E">
        <w:rPr>
          <w:rFonts w:ascii="Times New Roman" w:hAnsi="Times New Roman" w:cs="Times New Roman"/>
          <w:i/>
          <w:szCs w:val="24"/>
        </w:rPr>
        <w:t>Scientific reports,</w:t>
      </w:r>
      <w:r w:rsidRPr="001E3A0E">
        <w:rPr>
          <w:rFonts w:ascii="Times New Roman" w:hAnsi="Times New Roman" w:cs="Times New Roman"/>
          <w:szCs w:val="24"/>
        </w:rPr>
        <w:t xml:space="preserve"> 7</w:t>
      </w:r>
      <w:r w:rsidRPr="001E3A0E">
        <w:rPr>
          <w:rFonts w:ascii="Times New Roman" w:hAnsi="Times New Roman" w:cs="Times New Roman"/>
          <w:b/>
          <w:szCs w:val="24"/>
        </w:rPr>
        <w:t>,</w:t>
      </w:r>
      <w:r w:rsidRPr="001E3A0E">
        <w:rPr>
          <w:rFonts w:ascii="Times New Roman" w:hAnsi="Times New Roman" w:cs="Times New Roman"/>
          <w:szCs w:val="24"/>
        </w:rPr>
        <w:t xml:space="preserve"> 1-7.</w:t>
      </w:r>
    </w:p>
    <w:p w14:paraId="51B99174"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ROMERO-ORTUNO, R. &amp; KENNY, R. A. 2012. The frailty index in Europeans: association with age and mortality. </w:t>
      </w:r>
      <w:r w:rsidRPr="001E3A0E">
        <w:rPr>
          <w:rFonts w:ascii="Times New Roman" w:hAnsi="Times New Roman" w:cs="Times New Roman"/>
          <w:i/>
          <w:szCs w:val="24"/>
        </w:rPr>
        <w:t>Age Ageing,</w:t>
      </w:r>
      <w:r w:rsidRPr="001E3A0E">
        <w:rPr>
          <w:rFonts w:ascii="Times New Roman" w:hAnsi="Times New Roman" w:cs="Times New Roman"/>
          <w:szCs w:val="24"/>
        </w:rPr>
        <w:t xml:space="preserve"> 41</w:t>
      </w:r>
      <w:r w:rsidRPr="001E3A0E">
        <w:rPr>
          <w:rFonts w:ascii="Times New Roman" w:hAnsi="Times New Roman" w:cs="Times New Roman"/>
          <w:b/>
          <w:szCs w:val="24"/>
        </w:rPr>
        <w:t>,</w:t>
      </w:r>
      <w:r w:rsidRPr="001E3A0E">
        <w:rPr>
          <w:rFonts w:ascii="Times New Roman" w:hAnsi="Times New Roman" w:cs="Times New Roman"/>
          <w:szCs w:val="24"/>
        </w:rPr>
        <w:t xml:space="preserve"> 684-9.</w:t>
      </w:r>
    </w:p>
    <w:p w14:paraId="570DF08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ROMERO‐ORTUNO, R. 2014. Frailty I ndex in E uropeans: Association with determinants of health. </w:t>
      </w:r>
      <w:r w:rsidRPr="001E3A0E">
        <w:rPr>
          <w:rFonts w:ascii="Times New Roman" w:hAnsi="Times New Roman" w:cs="Times New Roman"/>
          <w:i/>
          <w:szCs w:val="24"/>
        </w:rPr>
        <w:t>Geriatrics &amp; gerontology international,</w:t>
      </w:r>
      <w:r w:rsidRPr="001E3A0E">
        <w:rPr>
          <w:rFonts w:ascii="Times New Roman" w:hAnsi="Times New Roman" w:cs="Times New Roman"/>
          <w:szCs w:val="24"/>
        </w:rPr>
        <w:t xml:space="preserve"> 14</w:t>
      </w:r>
      <w:r w:rsidRPr="001E3A0E">
        <w:rPr>
          <w:rFonts w:ascii="Times New Roman" w:hAnsi="Times New Roman" w:cs="Times New Roman"/>
          <w:b/>
          <w:szCs w:val="24"/>
        </w:rPr>
        <w:t>,</w:t>
      </w:r>
      <w:r w:rsidRPr="001E3A0E">
        <w:rPr>
          <w:rFonts w:ascii="Times New Roman" w:hAnsi="Times New Roman" w:cs="Times New Roman"/>
          <w:szCs w:val="24"/>
        </w:rPr>
        <w:t xml:space="preserve"> 420-429.</w:t>
      </w:r>
    </w:p>
    <w:p w14:paraId="4CD209C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ROSERO-BIXBY, L., DOW, W. H. &amp; BRENES, G. 2019. Costa Rican Longevity and Healthy Aging Study. </w:t>
      </w:r>
      <w:r w:rsidRPr="001E3A0E">
        <w:rPr>
          <w:rFonts w:ascii="Times New Roman" w:hAnsi="Times New Roman" w:cs="Times New Roman"/>
          <w:i/>
          <w:szCs w:val="24"/>
        </w:rPr>
        <w:t>In:</w:t>
      </w:r>
      <w:r w:rsidRPr="001E3A0E">
        <w:rPr>
          <w:rFonts w:ascii="Times New Roman" w:hAnsi="Times New Roman" w:cs="Times New Roman"/>
          <w:szCs w:val="24"/>
        </w:rPr>
        <w:t xml:space="preserve"> GU, D. &amp; DUPRE, M. E. (eds.) </w:t>
      </w:r>
      <w:r w:rsidRPr="001E3A0E">
        <w:rPr>
          <w:rFonts w:ascii="Times New Roman" w:hAnsi="Times New Roman" w:cs="Times New Roman"/>
          <w:i/>
          <w:szCs w:val="24"/>
        </w:rPr>
        <w:t>Encyclopedia of Gerontology and Population Aging.</w:t>
      </w:r>
      <w:r w:rsidRPr="001E3A0E">
        <w:rPr>
          <w:rFonts w:ascii="Times New Roman" w:hAnsi="Times New Roman" w:cs="Times New Roman"/>
          <w:szCs w:val="24"/>
        </w:rPr>
        <w:t xml:space="preserve"> Cham: Springer International Publishing.</w:t>
      </w:r>
    </w:p>
    <w:p w14:paraId="30CE8FE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SAUM, K.-U., DIEFFENBACH, A. K., MÜLLER, H., HOLLECZEK, B., HAUER, K. &amp; BRENNER, H. 2014. Frailty prevalence and 10-year survival in community-dwelling older adults: results from the ESTHER cohort study. </w:t>
      </w:r>
      <w:r w:rsidRPr="001E3A0E">
        <w:rPr>
          <w:rFonts w:ascii="Times New Roman" w:hAnsi="Times New Roman" w:cs="Times New Roman"/>
          <w:i/>
          <w:szCs w:val="24"/>
        </w:rPr>
        <w:t>European journal of epidemiology,</w:t>
      </w:r>
      <w:r w:rsidRPr="001E3A0E">
        <w:rPr>
          <w:rFonts w:ascii="Times New Roman" w:hAnsi="Times New Roman" w:cs="Times New Roman"/>
          <w:szCs w:val="24"/>
        </w:rPr>
        <w:t xml:space="preserve"> 29</w:t>
      </w:r>
      <w:r w:rsidRPr="001E3A0E">
        <w:rPr>
          <w:rFonts w:ascii="Times New Roman" w:hAnsi="Times New Roman" w:cs="Times New Roman"/>
          <w:b/>
          <w:szCs w:val="24"/>
        </w:rPr>
        <w:t>,</w:t>
      </w:r>
      <w:r w:rsidRPr="001E3A0E">
        <w:rPr>
          <w:rFonts w:ascii="Times New Roman" w:hAnsi="Times New Roman" w:cs="Times New Roman"/>
          <w:szCs w:val="24"/>
        </w:rPr>
        <w:t xml:space="preserve"> 171-179.</w:t>
      </w:r>
    </w:p>
    <w:p w14:paraId="7F7384F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SCHONBERG, M. A., DAVIS, R. B., MCCARTHY, E. P. &amp; MARCANTONIO, E. R. 2009. Index to predict 5-year mortality of community-dwelling adults aged 65 and older using data from the National Health Interview Survey. </w:t>
      </w:r>
      <w:r w:rsidRPr="001E3A0E">
        <w:rPr>
          <w:rFonts w:ascii="Times New Roman" w:hAnsi="Times New Roman" w:cs="Times New Roman"/>
          <w:i/>
          <w:szCs w:val="24"/>
        </w:rPr>
        <w:t>Journal of general internal medicine,</w:t>
      </w:r>
      <w:r w:rsidRPr="001E3A0E">
        <w:rPr>
          <w:rFonts w:ascii="Times New Roman" w:hAnsi="Times New Roman" w:cs="Times New Roman"/>
          <w:szCs w:val="24"/>
        </w:rPr>
        <w:t xml:space="preserve"> 24</w:t>
      </w:r>
      <w:r w:rsidRPr="001E3A0E">
        <w:rPr>
          <w:rFonts w:ascii="Times New Roman" w:hAnsi="Times New Roman" w:cs="Times New Roman"/>
          <w:b/>
          <w:szCs w:val="24"/>
        </w:rPr>
        <w:t>,</w:t>
      </w:r>
      <w:r w:rsidRPr="001E3A0E">
        <w:rPr>
          <w:rFonts w:ascii="Times New Roman" w:hAnsi="Times New Roman" w:cs="Times New Roman"/>
          <w:szCs w:val="24"/>
        </w:rPr>
        <w:t xml:space="preserve"> 1115.</w:t>
      </w:r>
    </w:p>
    <w:p w14:paraId="0DC178E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SEARLE, S. D., MITNITSKI, A., GAHBAUER, E. A., GILL, T. M. &amp; ROCKWOOD, K. 2008. A standard procedure for creating a frailty index.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8</w:t>
      </w:r>
      <w:r w:rsidRPr="001E3A0E">
        <w:rPr>
          <w:rFonts w:ascii="Times New Roman" w:hAnsi="Times New Roman" w:cs="Times New Roman"/>
          <w:b/>
          <w:szCs w:val="24"/>
        </w:rPr>
        <w:t>,</w:t>
      </w:r>
      <w:r w:rsidRPr="001E3A0E">
        <w:rPr>
          <w:rFonts w:ascii="Times New Roman" w:hAnsi="Times New Roman" w:cs="Times New Roman"/>
          <w:szCs w:val="24"/>
        </w:rPr>
        <w:t xml:space="preserve"> 1-10.</w:t>
      </w:r>
    </w:p>
    <w:p w14:paraId="52475EE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SHAMLIYAN, T., TALLEY, K. M., RAMAKRISHNAN, R. &amp; KANE, R. L. 2013. Association of frailty with survival: a systematic literature review. </w:t>
      </w:r>
      <w:r w:rsidRPr="001E3A0E">
        <w:rPr>
          <w:rFonts w:ascii="Times New Roman" w:hAnsi="Times New Roman" w:cs="Times New Roman"/>
          <w:i/>
          <w:szCs w:val="24"/>
        </w:rPr>
        <w:t>Ageing Res Rev,</w:t>
      </w:r>
      <w:r w:rsidRPr="001E3A0E">
        <w:rPr>
          <w:rFonts w:ascii="Times New Roman" w:hAnsi="Times New Roman" w:cs="Times New Roman"/>
          <w:szCs w:val="24"/>
        </w:rPr>
        <w:t xml:space="preserve"> 12</w:t>
      </w:r>
      <w:r w:rsidRPr="001E3A0E">
        <w:rPr>
          <w:rFonts w:ascii="Times New Roman" w:hAnsi="Times New Roman" w:cs="Times New Roman"/>
          <w:b/>
          <w:szCs w:val="24"/>
        </w:rPr>
        <w:t>,</w:t>
      </w:r>
      <w:r w:rsidRPr="001E3A0E">
        <w:rPr>
          <w:rFonts w:ascii="Times New Roman" w:hAnsi="Times New Roman" w:cs="Times New Roman"/>
          <w:szCs w:val="24"/>
        </w:rPr>
        <w:t xml:space="preserve"> 719-36.</w:t>
      </w:r>
    </w:p>
    <w:p w14:paraId="1711885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SHI, J., SONG, X., YU, P., TANG, Z., MITNITSKI, A., FANG, X. &amp; ROCKWOOD, K. 2011. Analysis of frailty and survival from late middle age in the Beijing Longitudinal Study of Aging.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11</w:t>
      </w:r>
      <w:r w:rsidRPr="001E3A0E">
        <w:rPr>
          <w:rFonts w:ascii="Times New Roman" w:hAnsi="Times New Roman" w:cs="Times New Roman"/>
          <w:b/>
          <w:szCs w:val="24"/>
        </w:rPr>
        <w:t>,</w:t>
      </w:r>
      <w:r w:rsidRPr="001E3A0E">
        <w:rPr>
          <w:rFonts w:ascii="Times New Roman" w:hAnsi="Times New Roman" w:cs="Times New Roman"/>
          <w:szCs w:val="24"/>
        </w:rPr>
        <w:t xml:space="preserve"> 1-8.</w:t>
      </w:r>
    </w:p>
    <w:p w14:paraId="16A8F83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SHI, S. M., MCCARTHY, E. P., MITCHELL, S. L. &amp; KIM, D. H. 2020. Predicting Mortality and Adverse Outcomes: Comparing the Frailty Index to General Prognostic Indices. </w:t>
      </w:r>
      <w:r w:rsidRPr="001E3A0E">
        <w:rPr>
          <w:rFonts w:ascii="Times New Roman" w:hAnsi="Times New Roman" w:cs="Times New Roman"/>
          <w:i/>
          <w:szCs w:val="24"/>
        </w:rPr>
        <w:t>Journal of General Internal Medicine,</w:t>
      </w:r>
      <w:r w:rsidRPr="001E3A0E">
        <w:rPr>
          <w:rFonts w:ascii="Times New Roman" w:hAnsi="Times New Roman" w:cs="Times New Roman"/>
          <w:szCs w:val="24"/>
        </w:rPr>
        <w:t xml:space="preserve"> 35</w:t>
      </w:r>
      <w:r w:rsidRPr="001E3A0E">
        <w:rPr>
          <w:rFonts w:ascii="Times New Roman" w:hAnsi="Times New Roman" w:cs="Times New Roman"/>
          <w:b/>
          <w:szCs w:val="24"/>
        </w:rPr>
        <w:t>,</w:t>
      </w:r>
      <w:r w:rsidRPr="001E3A0E">
        <w:rPr>
          <w:rFonts w:ascii="Times New Roman" w:hAnsi="Times New Roman" w:cs="Times New Roman"/>
          <w:szCs w:val="24"/>
        </w:rPr>
        <w:t xml:space="preserve"> 1516-1522.</w:t>
      </w:r>
    </w:p>
    <w:p w14:paraId="6B47BBDC"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SHIN, C. 2019. Korean Longitudinal Study of Ageing. </w:t>
      </w:r>
      <w:r w:rsidRPr="001E3A0E">
        <w:rPr>
          <w:rFonts w:ascii="Times New Roman" w:hAnsi="Times New Roman" w:cs="Times New Roman"/>
          <w:i/>
          <w:szCs w:val="24"/>
        </w:rPr>
        <w:t>In:</w:t>
      </w:r>
      <w:r w:rsidRPr="001E3A0E">
        <w:rPr>
          <w:rFonts w:ascii="Times New Roman" w:hAnsi="Times New Roman" w:cs="Times New Roman"/>
          <w:szCs w:val="24"/>
        </w:rPr>
        <w:t xml:space="preserve"> GU, D. &amp; DUPRE, M. E. (eds.) </w:t>
      </w:r>
      <w:r w:rsidRPr="001E3A0E">
        <w:rPr>
          <w:rFonts w:ascii="Times New Roman" w:hAnsi="Times New Roman" w:cs="Times New Roman"/>
          <w:i/>
          <w:szCs w:val="24"/>
        </w:rPr>
        <w:t>Encyclopedia of Gerontology and Population Aging.</w:t>
      </w:r>
      <w:r w:rsidRPr="001E3A0E">
        <w:rPr>
          <w:rFonts w:ascii="Times New Roman" w:hAnsi="Times New Roman" w:cs="Times New Roman"/>
          <w:szCs w:val="24"/>
        </w:rPr>
        <w:t xml:space="preserve"> Cham: Springer International Publishing.</w:t>
      </w:r>
    </w:p>
    <w:p w14:paraId="39FECB4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SIEJKA, T., SRIKANTH, V. K., HUBBARD, R. E., MORAN, C., BEARE, R., WOOD, A., PHAN, T., BOLAGUN, S. &amp; CALLISAYA, M. L. 2020. White matter hyperintensities and the progression of frailty - the Tasmanian Study of Cognition and Gait. </w:t>
      </w:r>
      <w:r w:rsidRPr="001E3A0E">
        <w:rPr>
          <w:rFonts w:ascii="Times New Roman" w:hAnsi="Times New Roman" w:cs="Times New Roman"/>
          <w:i/>
          <w:szCs w:val="24"/>
        </w:rPr>
        <w:t>Journals of Gerontology Series A Biological Sciences &amp; Medical Sciences,</w:t>
      </w:r>
      <w:r w:rsidRPr="001E3A0E">
        <w:rPr>
          <w:rFonts w:ascii="Times New Roman" w:hAnsi="Times New Roman" w:cs="Times New Roman"/>
          <w:szCs w:val="24"/>
        </w:rPr>
        <w:t xml:space="preserve"> 20</w:t>
      </w:r>
      <w:r w:rsidRPr="001E3A0E">
        <w:rPr>
          <w:rFonts w:ascii="Times New Roman" w:hAnsi="Times New Roman" w:cs="Times New Roman"/>
          <w:b/>
          <w:szCs w:val="24"/>
        </w:rPr>
        <w:t>,</w:t>
      </w:r>
      <w:r w:rsidRPr="001E3A0E">
        <w:rPr>
          <w:rFonts w:ascii="Times New Roman" w:hAnsi="Times New Roman" w:cs="Times New Roman"/>
          <w:szCs w:val="24"/>
        </w:rPr>
        <w:t xml:space="preserve"> 20.</w:t>
      </w:r>
    </w:p>
    <w:p w14:paraId="7EC8387A"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SONG, X., MITNITSKI, A. &amp; ROCKWOOD, K. 2010. Prevalence and 10-year outcomes of frailty in older adults in relation to deficit accumulation. </w:t>
      </w:r>
      <w:r w:rsidRPr="001E3A0E">
        <w:rPr>
          <w:rFonts w:ascii="Times New Roman" w:hAnsi="Times New Roman" w:cs="Times New Roman"/>
          <w:i/>
          <w:szCs w:val="24"/>
        </w:rPr>
        <w:t>Journal of the American Geriatrics Society,</w:t>
      </w:r>
      <w:r w:rsidRPr="001E3A0E">
        <w:rPr>
          <w:rFonts w:ascii="Times New Roman" w:hAnsi="Times New Roman" w:cs="Times New Roman"/>
          <w:szCs w:val="24"/>
        </w:rPr>
        <w:t xml:space="preserve"> 58</w:t>
      </w:r>
      <w:r w:rsidRPr="001E3A0E">
        <w:rPr>
          <w:rFonts w:ascii="Times New Roman" w:hAnsi="Times New Roman" w:cs="Times New Roman"/>
          <w:b/>
          <w:szCs w:val="24"/>
        </w:rPr>
        <w:t>,</w:t>
      </w:r>
      <w:r w:rsidRPr="001E3A0E">
        <w:rPr>
          <w:rFonts w:ascii="Times New Roman" w:hAnsi="Times New Roman" w:cs="Times New Roman"/>
          <w:szCs w:val="24"/>
        </w:rPr>
        <w:t xml:space="preserve"> 681-7.</w:t>
      </w:r>
    </w:p>
    <w:p w14:paraId="622BA58B"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SONNEGA, A., FAUL, J. D., OFSTEDAL, M. B., LANGA, K. M., PHILLIPS, J. W. &amp; WEIR, D. R. 2014. Cohort Profile: the Health and Retirement Study (HRS). </w:t>
      </w:r>
      <w:r w:rsidRPr="001E3A0E">
        <w:rPr>
          <w:rFonts w:ascii="Times New Roman" w:hAnsi="Times New Roman" w:cs="Times New Roman"/>
          <w:i/>
          <w:szCs w:val="24"/>
        </w:rPr>
        <w:t>International Journal of Epidemiology,</w:t>
      </w:r>
      <w:r w:rsidRPr="001E3A0E">
        <w:rPr>
          <w:rFonts w:ascii="Times New Roman" w:hAnsi="Times New Roman" w:cs="Times New Roman"/>
          <w:szCs w:val="24"/>
        </w:rPr>
        <w:t xml:space="preserve"> 43</w:t>
      </w:r>
      <w:r w:rsidRPr="001E3A0E">
        <w:rPr>
          <w:rFonts w:ascii="Times New Roman" w:hAnsi="Times New Roman" w:cs="Times New Roman"/>
          <w:b/>
          <w:szCs w:val="24"/>
        </w:rPr>
        <w:t>,</w:t>
      </w:r>
      <w:r w:rsidRPr="001E3A0E">
        <w:rPr>
          <w:rFonts w:ascii="Times New Roman" w:hAnsi="Times New Roman" w:cs="Times New Roman"/>
          <w:szCs w:val="24"/>
        </w:rPr>
        <w:t xml:space="preserve"> 576-585.</w:t>
      </w:r>
    </w:p>
    <w:p w14:paraId="3F7A9DD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STOW, D., MATTHEWS, F. E. &amp; HANRATTY, B. 2018. Frailty trajectories to identify end of life: a longitudinal population-based study. </w:t>
      </w:r>
      <w:r w:rsidRPr="001E3A0E">
        <w:rPr>
          <w:rFonts w:ascii="Times New Roman" w:hAnsi="Times New Roman" w:cs="Times New Roman"/>
          <w:i/>
          <w:szCs w:val="24"/>
        </w:rPr>
        <w:t>BMC medicine,</w:t>
      </w:r>
      <w:r w:rsidRPr="001E3A0E">
        <w:rPr>
          <w:rFonts w:ascii="Times New Roman" w:hAnsi="Times New Roman" w:cs="Times New Roman"/>
          <w:szCs w:val="24"/>
        </w:rPr>
        <w:t xml:space="preserve"> 16</w:t>
      </w:r>
      <w:r w:rsidRPr="001E3A0E">
        <w:rPr>
          <w:rFonts w:ascii="Times New Roman" w:hAnsi="Times New Roman" w:cs="Times New Roman"/>
          <w:b/>
          <w:szCs w:val="24"/>
        </w:rPr>
        <w:t>,</w:t>
      </w:r>
      <w:r w:rsidRPr="001E3A0E">
        <w:rPr>
          <w:rFonts w:ascii="Times New Roman" w:hAnsi="Times New Roman" w:cs="Times New Roman"/>
          <w:szCs w:val="24"/>
        </w:rPr>
        <w:t xml:space="preserve"> 1-7.</w:t>
      </w:r>
    </w:p>
    <w:p w14:paraId="5E05FA80"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THOMPSON, M. Q., THEOU, O., ADAMS, R. J., TUCKER, G. R. &amp; VISVANATHAN, R. 2018. Frailty state transitions and associated factors in South Australian older adults. </w:t>
      </w:r>
      <w:r w:rsidRPr="001E3A0E">
        <w:rPr>
          <w:rFonts w:ascii="Times New Roman" w:hAnsi="Times New Roman" w:cs="Times New Roman"/>
          <w:i/>
          <w:szCs w:val="24"/>
        </w:rPr>
        <w:t>Geriatrics &amp; gerontology international,</w:t>
      </w:r>
      <w:r w:rsidRPr="001E3A0E">
        <w:rPr>
          <w:rFonts w:ascii="Times New Roman" w:hAnsi="Times New Roman" w:cs="Times New Roman"/>
          <w:szCs w:val="24"/>
        </w:rPr>
        <w:t xml:space="preserve"> 18</w:t>
      </w:r>
      <w:r w:rsidRPr="001E3A0E">
        <w:rPr>
          <w:rFonts w:ascii="Times New Roman" w:hAnsi="Times New Roman" w:cs="Times New Roman"/>
          <w:b/>
          <w:szCs w:val="24"/>
        </w:rPr>
        <w:t>,</w:t>
      </w:r>
      <w:r w:rsidRPr="001E3A0E">
        <w:rPr>
          <w:rFonts w:ascii="Times New Roman" w:hAnsi="Times New Roman" w:cs="Times New Roman"/>
          <w:szCs w:val="24"/>
        </w:rPr>
        <w:t xml:space="preserve"> 1549-1555.</w:t>
      </w:r>
    </w:p>
    <w:p w14:paraId="2667DF96"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WELLS, G. A., SHEA, B., O’CONNELL, D. A., PETERSON, J., WELCH, V., LOSOS, M. &amp; TUGWELL, P. 2000. The Newcastle-Ottawa Scale (NOS) for assessing the quality of nonrandomised studies in meta-analyses. Oxford.</w:t>
      </w:r>
    </w:p>
    <w:p w14:paraId="79F94439"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WONG, R., MICHAELS-OBREGON, A. &amp; PALLONI, A. 2015. Cohort Profile: The Mexican Health and Aging Study (MHAS). </w:t>
      </w:r>
      <w:r w:rsidRPr="001E3A0E">
        <w:rPr>
          <w:rFonts w:ascii="Times New Roman" w:hAnsi="Times New Roman" w:cs="Times New Roman"/>
          <w:i/>
          <w:szCs w:val="24"/>
        </w:rPr>
        <w:t>International Journal of Epidemiology,</w:t>
      </w:r>
      <w:r w:rsidRPr="001E3A0E">
        <w:rPr>
          <w:rFonts w:ascii="Times New Roman" w:hAnsi="Times New Roman" w:cs="Times New Roman"/>
          <w:szCs w:val="24"/>
        </w:rPr>
        <w:t xml:space="preserve"> 46</w:t>
      </w:r>
      <w:r w:rsidRPr="001E3A0E">
        <w:rPr>
          <w:rFonts w:ascii="Times New Roman" w:hAnsi="Times New Roman" w:cs="Times New Roman"/>
          <w:b/>
          <w:szCs w:val="24"/>
        </w:rPr>
        <w:t>,</w:t>
      </w:r>
      <w:r w:rsidRPr="001E3A0E">
        <w:rPr>
          <w:rFonts w:ascii="Times New Roman" w:hAnsi="Times New Roman" w:cs="Times New Roman"/>
          <w:szCs w:val="24"/>
        </w:rPr>
        <w:t xml:space="preserve"> e2-e2.</w:t>
      </w:r>
    </w:p>
    <w:p w14:paraId="6ABB2A87"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WOO, J., ZHENG, Z., LEUNG, J. &amp; CHAN, P. 2015. Prevalence of frailty and contributory factors in three Chinese populations with different socioeconomic and healthcare characteristics.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15</w:t>
      </w:r>
      <w:r w:rsidRPr="001E3A0E">
        <w:rPr>
          <w:rFonts w:ascii="Times New Roman" w:hAnsi="Times New Roman" w:cs="Times New Roman"/>
          <w:b/>
          <w:szCs w:val="24"/>
        </w:rPr>
        <w:t>,</w:t>
      </w:r>
      <w:r w:rsidRPr="001E3A0E">
        <w:rPr>
          <w:rFonts w:ascii="Times New Roman" w:hAnsi="Times New Roman" w:cs="Times New Roman"/>
          <w:szCs w:val="24"/>
        </w:rPr>
        <w:t xml:space="preserve"> 1-11.</w:t>
      </w:r>
    </w:p>
    <w:p w14:paraId="295B6592"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YE, B., CHEN, H., HUANG, L., RUAN, Y., QI, S., GUO, Y., HUANG, Z., SUN, S., CHEN, X. &amp; SHI, Y. 2020. Changes in frailty among community-dwelling Chinese older adults and its predictors: evidence from a two-year longitudinal study. </w:t>
      </w:r>
      <w:r w:rsidRPr="001E3A0E">
        <w:rPr>
          <w:rFonts w:ascii="Times New Roman" w:hAnsi="Times New Roman" w:cs="Times New Roman"/>
          <w:i/>
          <w:szCs w:val="24"/>
        </w:rPr>
        <w:t>BMC geriatrics,</w:t>
      </w:r>
      <w:r w:rsidRPr="001E3A0E">
        <w:rPr>
          <w:rFonts w:ascii="Times New Roman" w:hAnsi="Times New Roman" w:cs="Times New Roman"/>
          <w:szCs w:val="24"/>
        </w:rPr>
        <w:t xml:space="preserve"> 20</w:t>
      </w:r>
      <w:r w:rsidRPr="001E3A0E">
        <w:rPr>
          <w:rFonts w:ascii="Times New Roman" w:hAnsi="Times New Roman" w:cs="Times New Roman"/>
          <w:b/>
          <w:szCs w:val="24"/>
        </w:rPr>
        <w:t>,</w:t>
      </w:r>
      <w:r w:rsidRPr="001E3A0E">
        <w:rPr>
          <w:rFonts w:ascii="Times New Roman" w:hAnsi="Times New Roman" w:cs="Times New Roman"/>
          <w:szCs w:val="24"/>
        </w:rPr>
        <w:t xml:space="preserve"> 1-10.</w:t>
      </w:r>
    </w:p>
    <w:p w14:paraId="3254546D"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ZANINOTTO, P. &amp; STEPTOE, A. 2019. English Longitudinal Study of Ageing. </w:t>
      </w:r>
      <w:r w:rsidRPr="001E3A0E">
        <w:rPr>
          <w:rFonts w:ascii="Times New Roman" w:hAnsi="Times New Roman" w:cs="Times New Roman"/>
          <w:i/>
          <w:szCs w:val="24"/>
        </w:rPr>
        <w:t>In:</w:t>
      </w:r>
      <w:r w:rsidRPr="001E3A0E">
        <w:rPr>
          <w:rFonts w:ascii="Times New Roman" w:hAnsi="Times New Roman" w:cs="Times New Roman"/>
          <w:szCs w:val="24"/>
        </w:rPr>
        <w:t xml:space="preserve"> GU, D. &amp; DUPRE, M. E. (eds.) </w:t>
      </w:r>
      <w:r w:rsidRPr="001E3A0E">
        <w:rPr>
          <w:rFonts w:ascii="Times New Roman" w:hAnsi="Times New Roman" w:cs="Times New Roman"/>
          <w:i/>
          <w:szCs w:val="24"/>
        </w:rPr>
        <w:t>Encyclopedia of Gerontology and Population Aging.</w:t>
      </w:r>
      <w:r w:rsidRPr="001E3A0E">
        <w:rPr>
          <w:rFonts w:ascii="Times New Roman" w:hAnsi="Times New Roman" w:cs="Times New Roman"/>
          <w:szCs w:val="24"/>
        </w:rPr>
        <w:t xml:space="preserve"> Cham: Springer International Publishing.</w:t>
      </w:r>
    </w:p>
    <w:p w14:paraId="6837B0E3"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ZHAO, Y., HU, Y., SMITH, J. P., STRAUSS, J. &amp; YANG, G. 2012. Cohort Profile: The China Health and Retirement Longitudinal Study (CHARLS). </w:t>
      </w:r>
      <w:r w:rsidRPr="001E3A0E">
        <w:rPr>
          <w:rFonts w:ascii="Times New Roman" w:hAnsi="Times New Roman" w:cs="Times New Roman"/>
          <w:i/>
          <w:szCs w:val="24"/>
        </w:rPr>
        <w:t>International Journal of Epidemiology,</w:t>
      </w:r>
      <w:r w:rsidRPr="001E3A0E">
        <w:rPr>
          <w:rFonts w:ascii="Times New Roman" w:hAnsi="Times New Roman" w:cs="Times New Roman"/>
          <w:szCs w:val="24"/>
        </w:rPr>
        <w:t xml:space="preserve"> 43</w:t>
      </w:r>
      <w:r w:rsidRPr="001E3A0E">
        <w:rPr>
          <w:rFonts w:ascii="Times New Roman" w:hAnsi="Times New Roman" w:cs="Times New Roman"/>
          <w:b/>
          <w:szCs w:val="24"/>
        </w:rPr>
        <w:t>,</w:t>
      </w:r>
      <w:r w:rsidRPr="001E3A0E">
        <w:rPr>
          <w:rFonts w:ascii="Times New Roman" w:hAnsi="Times New Roman" w:cs="Times New Roman"/>
          <w:szCs w:val="24"/>
        </w:rPr>
        <w:t xml:space="preserve"> 61-68.</w:t>
      </w:r>
    </w:p>
    <w:p w14:paraId="3B89E5C2"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ZHENG, Z., GUAN, S., DING, H., WANG, Z., ZHANG, J., ZHAO, J., MA, J. &amp; CHAN, P. 2016. Prevalence and Incidence of Frailty in Community-Dwelling Older People: Beijing Longitudinal Study of Aging II. </w:t>
      </w:r>
      <w:r w:rsidRPr="001E3A0E">
        <w:rPr>
          <w:rFonts w:ascii="Times New Roman" w:hAnsi="Times New Roman" w:cs="Times New Roman"/>
          <w:i/>
          <w:szCs w:val="24"/>
        </w:rPr>
        <w:t>Journal of the American Geriatrics Society,</w:t>
      </w:r>
      <w:r w:rsidRPr="001E3A0E">
        <w:rPr>
          <w:rFonts w:ascii="Times New Roman" w:hAnsi="Times New Roman" w:cs="Times New Roman"/>
          <w:szCs w:val="24"/>
        </w:rPr>
        <w:t xml:space="preserve"> 64</w:t>
      </w:r>
      <w:r w:rsidRPr="001E3A0E">
        <w:rPr>
          <w:rFonts w:ascii="Times New Roman" w:hAnsi="Times New Roman" w:cs="Times New Roman"/>
          <w:b/>
          <w:szCs w:val="24"/>
        </w:rPr>
        <w:t>,</w:t>
      </w:r>
      <w:r w:rsidRPr="001E3A0E">
        <w:rPr>
          <w:rFonts w:ascii="Times New Roman" w:hAnsi="Times New Roman" w:cs="Times New Roman"/>
          <w:szCs w:val="24"/>
        </w:rPr>
        <w:t xml:space="preserve"> 1281-6.</w:t>
      </w:r>
    </w:p>
    <w:p w14:paraId="34400F88" w14:textId="77777777" w:rsidR="00885640" w:rsidRPr="001E3A0E" w:rsidRDefault="00885640" w:rsidP="00885640">
      <w:pPr>
        <w:pStyle w:val="EndNoteBibliography"/>
        <w:ind w:left="720" w:hanging="720"/>
        <w:rPr>
          <w:rFonts w:ascii="Times New Roman" w:hAnsi="Times New Roman" w:cs="Times New Roman"/>
          <w:szCs w:val="24"/>
        </w:rPr>
      </w:pPr>
      <w:r w:rsidRPr="001E3A0E">
        <w:rPr>
          <w:rFonts w:ascii="Times New Roman" w:hAnsi="Times New Roman" w:cs="Times New Roman"/>
          <w:szCs w:val="24"/>
        </w:rPr>
        <w:t xml:space="preserve">ZIMMER, Z., SAITO, Y., THEOU, O., HAVIVA, C. &amp; ROCKWOOD, K. 2021. Education, wealth, and duration of life expected in various degrees of frailty. </w:t>
      </w:r>
      <w:r w:rsidRPr="001E3A0E">
        <w:rPr>
          <w:rFonts w:ascii="Times New Roman" w:hAnsi="Times New Roman" w:cs="Times New Roman"/>
          <w:i/>
          <w:szCs w:val="24"/>
        </w:rPr>
        <w:t>European Journal of Ageing</w:t>
      </w:r>
      <w:r w:rsidRPr="001E3A0E">
        <w:rPr>
          <w:rFonts w:ascii="Times New Roman" w:hAnsi="Times New Roman" w:cs="Times New Roman"/>
          <w:b/>
          <w:szCs w:val="24"/>
        </w:rPr>
        <w:t>,</w:t>
      </w:r>
      <w:r w:rsidRPr="001E3A0E">
        <w:rPr>
          <w:rFonts w:ascii="Times New Roman" w:hAnsi="Times New Roman" w:cs="Times New Roman"/>
          <w:szCs w:val="24"/>
        </w:rPr>
        <w:t xml:space="preserve"> 12.</w:t>
      </w:r>
    </w:p>
    <w:p w14:paraId="18A095E5" w14:textId="77777777" w:rsidR="00885640" w:rsidRPr="001E3A0E" w:rsidRDefault="00885640" w:rsidP="00885640">
      <w:pPr>
        <w:rPr>
          <w:sz w:val="24"/>
        </w:rPr>
      </w:pPr>
    </w:p>
    <w:p w14:paraId="63A34296" w14:textId="77777777" w:rsidR="00885640" w:rsidRPr="001E3A0E" w:rsidRDefault="00885640" w:rsidP="00885640">
      <w:pPr>
        <w:rPr>
          <w:sz w:val="24"/>
        </w:rPr>
      </w:pPr>
    </w:p>
    <w:p w14:paraId="21C19AAC" w14:textId="77777777" w:rsidR="0044086D" w:rsidRPr="001E3A0E" w:rsidRDefault="0044086D" w:rsidP="00C47C8A">
      <w:pPr>
        <w:tabs>
          <w:tab w:val="right" w:pos="7200"/>
        </w:tabs>
        <w:spacing w:line="360" w:lineRule="auto"/>
        <w:ind w:right="567"/>
        <w:jc w:val="both"/>
        <w:rPr>
          <w:bCs/>
          <w:noProof/>
          <w:sz w:val="24"/>
          <w:lang w:val="ru-RU"/>
        </w:rPr>
      </w:pPr>
    </w:p>
    <w:sectPr w:rsidR="0044086D" w:rsidRPr="001E3A0E" w:rsidSect="0088564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3298" w14:textId="77777777" w:rsidR="00BC45FF" w:rsidRDefault="00BC45FF">
      <w:r>
        <w:separator/>
      </w:r>
    </w:p>
  </w:endnote>
  <w:endnote w:type="continuationSeparator" w:id="0">
    <w:p w14:paraId="2F855A02" w14:textId="77777777" w:rsidR="00BC45FF" w:rsidRDefault="00B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354530"/>
      <w:docPartObj>
        <w:docPartGallery w:val="Page Numbers (Bottom of Page)"/>
        <w:docPartUnique/>
      </w:docPartObj>
    </w:sdtPr>
    <w:sdtEndPr>
      <w:rPr>
        <w:noProof/>
      </w:rPr>
    </w:sdtEndPr>
    <w:sdtContent>
      <w:p w14:paraId="3581350A" w14:textId="75CED5C0" w:rsidR="000B7B7D" w:rsidRDefault="000B7B7D">
        <w:pPr>
          <w:pStyle w:val="Footer"/>
          <w:jc w:val="center"/>
        </w:pPr>
        <w:r>
          <w:fldChar w:fldCharType="begin"/>
        </w:r>
        <w:r>
          <w:instrText xml:space="preserve"> PAGE   \* MERGEFORMAT </w:instrText>
        </w:r>
        <w:r>
          <w:fldChar w:fldCharType="separate"/>
        </w:r>
        <w:r w:rsidR="00624680">
          <w:rPr>
            <w:noProof/>
          </w:rPr>
          <w:t>2</w:t>
        </w:r>
        <w:r>
          <w:rPr>
            <w:noProof/>
          </w:rPr>
          <w:fldChar w:fldCharType="end"/>
        </w:r>
      </w:p>
    </w:sdtContent>
  </w:sdt>
  <w:p w14:paraId="38DC88CB" w14:textId="77777777" w:rsidR="000B7B7D" w:rsidRDefault="000B7B7D">
    <w:pPr>
      <w:pStyle w:val="Footer"/>
    </w:pPr>
  </w:p>
  <w:p w14:paraId="7F789B26" w14:textId="77777777" w:rsidR="000B7B7D" w:rsidRDefault="000B7B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6B88" w14:textId="77777777" w:rsidR="000B7B7D" w:rsidRDefault="000B7B7D" w:rsidP="00367A1D">
    <w:pPr>
      <w:tabs>
        <w:tab w:val="right" w:pos="7200"/>
      </w:tabs>
      <w:spacing w:line="312" w:lineRule="auto"/>
      <w:ind w:right="369"/>
      <w:rPr>
        <w:sz w:val="16"/>
        <w:szCs w:val="16"/>
        <w:lang w:val="en-US" w:eastAsia="en-US"/>
      </w:rPr>
    </w:pPr>
  </w:p>
  <w:p w14:paraId="7F4445A0" w14:textId="77777777" w:rsidR="000B7B7D" w:rsidRPr="00367A1D" w:rsidRDefault="000B7B7D" w:rsidP="00880405">
    <w:pPr>
      <w:tabs>
        <w:tab w:val="right" w:pos="7200"/>
      </w:tabs>
      <w:spacing w:line="312" w:lineRule="auto"/>
      <w:ind w:right="369"/>
      <w:rPr>
        <w:sz w:val="16"/>
        <w:szCs w:val="16"/>
        <w:lang w:val="en-US" w:eastAsia="en-US"/>
      </w:rPr>
    </w:pPr>
    <w:r>
      <w:rPr>
        <w:sz w:val="16"/>
        <w:szCs w:val="16"/>
        <w:lang w:val="en-US" w:eastAsia="en-US"/>
      </w:rPr>
      <w:t xml:space="preserve">Worsley </w:t>
    </w:r>
    <w:r w:rsidRPr="00367A1D">
      <w:rPr>
        <w:sz w:val="16"/>
        <w:szCs w:val="16"/>
        <w:lang w:val="en-US" w:eastAsia="en-US"/>
      </w:rPr>
      <w:t>Building</w:t>
    </w:r>
  </w:p>
  <w:p w14:paraId="793009D3" w14:textId="77777777" w:rsidR="000B7B7D" w:rsidRPr="00367A1D" w:rsidRDefault="000B7B7D" w:rsidP="00880405">
    <w:pPr>
      <w:tabs>
        <w:tab w:val="right" w:pos="7200"/>
      </w:tabs>
      <w:spacing w:line="312" w:lineRule="auto"/>
      <w:ind w:right="369"/>
      <w:rPr>
        <w:sz w:val="16"/>
        <w:szCs w:val="16"/>
        <w:lang w:val="en-US" w:eastAsia="en-US"/>
      </w:rPr>
    </w:pPr>
    <w:r w:rsidRPr="00367A1D">
      <w:rPr>
        <w:sz w:val="16"/>
        <w:szCs w:val="16"/>
        <w:lang w:val="en-US" w:eastAsia="en-US"/>
      </w:rPr>
      <w:t>University of Leeds</w:t>
    </w:r>
  </w:p>
  <w:p w14:paraId="42F5E9D9" w14:textId="77777777" w:rsidR="000B7B7D" w:rsidRPr="00367A1D" w:rsidRDefault="000B7B7D" w:rsidP="00880405">
    <w:pPr>
      <w:tabs>
        <w:tab w:val="right" w:pos="7200"/>
      </w:tabs>
      <w:spacing w:line="312" w:lineRule="auto"/>
      <w:ind w:right="369"/>
      <w:rPr>
        <w:sz w:val="16"/>
        <w:szCs w:val="16"/>
        <w:lang w:val="en-US" w:eastAsia="en-US"/>
      </w:rPr>
    </w:pPr>
    <w:r w:rsidRPr="00367A1D">
      <w:rPr>
        <w:sz w:val="16"/>
        <w:szCs w:val="16"/>
        <w:lang w:val="en-US" w:eastAsia="en-US"/>
      </w:rPr>
      <w:t>Leeds, United Kingdom</w:t>
    </w:r>
  </w:p>
  <w:p w14:paraId="6F190FF5" w14:textId="77777777" w:rsidR="000B7B7D" w:rsidRDefault="000B7B7D" w:rsidP="00880405">
    <w:pPr>
      <w:tabs>
        <w:tab w:val="right" w:pos="7200"/>
      </w:tabs>
      <w:spacing w:line="312" w:lineRule="auto"/>
      <w:ind w:right="369"/>
      <w:rPr>
        <w:sz w:val="16"/>
        <w:szCs w:val="16"/>
        <w:lang w:val="en-US" w:eastAsia="en-US"/>
      </w:rPr>
    </w:pPr>
    <w:r>
      <w:rPr>
        <w:sz w:val="16"/>
        <w:szCs w:val="16"/>
        <w:lang w:val="en-US" w:eastAsia="en-US"/>
      </w:rPr>
      <w:t>LS2 9JT</w:t>
    </w:r>
  </w:p>
  <w:p w14:paraId="2F8619F3" w14:textId="77777777" w:rsidR="000B7B7D" w:rsidRDefault="000B7B7D" w:rsidP="00880405">
    <w:pPr>
      <w:tabs>
        <w:tab w:val="right" w:pos="7200"/>
      </w:tabs>
      <w:spacing w:line="312" w:lineRule="auto"/>
      <w:ind w:right="369"/>
      <w:rPr>
        <w:sz w:val="16"/>
        <w:szCs w:val="16"/>
        <w:lang w:val="en-US" w:eastAsia="en-US"/>
      </w:rPr>
    </w:pPr>
  </w:p>
  <w:p w14:paraId="469E4124" w14:textId="77777777" w:rsidR="000B7B7D" w:rsidRPr="00880405" w:rsidRDefault="00BC45FF" w:rsidP="00880405">
    <w:pPr>
      <w:tabs>
        <w:tab w:val="right" w:pos="7200"/>
      </w:tabs>
      <w:spacing w:line="312" w:lineRule="auto"/>
      <w:ind w:right="369"/>
      <w:rPr>
        <w:sz w:val="16"/>
        <w:szCs w:val="16"/>
        <w:lang w:val="en-US" w:eastAsia="en-US"/>
      </w:rPr>
    </w:pPr>
    <w:hyperlink r:id="rId1" w:history="1">
      <w:r w:rsidR="000B7B7D" w:rsidRPr="00367A1D">
        <w:rPr>
          <w:rStyle w:val="Hyperlink"/>
          <w:sz w:val="16"/>
        </w:rPr>
        <w:t>http://medhealth.leeds.ac.uk/lihs</w:t>
      </w:r>
    </w:hyperlink>
    <w:r w:rsidR="000B7B7D" w:rsidRPr="00367A1D">
      <w:rPr>
        <w:sz w:val="16"/>
        <w:szCs w:val="16"/>
        <w:lang w:val="en-US" w:eastAsia="en-US"/>
      </w:rPr>
      <w:t xml:space="preserve"> </w:t>
    </w:r>
  </w:p>
  <w:p w14:paraId="4035CEF4" w14:textId="77777777" w:rsidR="000B7B7D" w:rsidRPr="00897A4F" w:rsidRDefault="000B7B7D" w:rsidP="00897A4F">
    <w:pPr>
      <w:pStyle w:val="Footer"/>
    </w:pPr>
  </w:p>
  <w:p w14:paraId="6B514E6A" w14:textId="77777777" w:rsidR="000B7B7D" w:rsidRDefault="000B7B7D" w:rsidP="00880405">
    <w:pPr>
      <w:tabs>
        <w:tab w:val="left" w:pos="158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9365394"/>
      <w:docPartObj>
        <w:docPartGallery w:val="Page Numbers (Bottom of Page)"/>
        <w:docPartUnique/>
      </w:docPartObj>
    </w:sdtPr>
    <w:sdtEndPr>
      <w:rPr>
        <w:rStyle w:val="PageNumber"/>
      </w:rPr>
    </w:sdtEndPr>
    <w:sdtContent>
      <w:p w14:paraId="7637DF3A" w14:textId="77777777" w:rsidR="000B7B7D" w:rsidRDefault="000B7B7D" w:rsidP="00885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C0283" w14:textId="77777777" w:rsidR="000B7B7D" w:rsidRDefault="000B7B7D" w:rsidP="0088564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58E2" w14:textId="77777777" w:rsidR="000B7B7D" w:rsidRDefault="000B7B7D" w:rsidP="0088564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9289"/>
      <w:docPartObj>
        <w:docPartGallery w:val="Page Numbers (Bottom of Page)"/>
        <w:docPartUnique/>
      </w:docPartObj>
    </w:sdtPr>
    <w:sdtEndPr>
      <w:rPr>
        <w:rStyle w:val="PageNumber"/>
      </w:rPr>
    </w:sdtEndPr>
    <w:sdtContent>
      <w:p w14:paraId="675597AE" w14:textId="77777777" w:rsidR="000B7B7D" w:rsidRDefault="000B7B7D" w:rsidP="00885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C927F0" w14:textId="77777777" w:rsidR="000B7B7D" w:rsidRDefault="000B7B7D" w:rsidP="0088564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306865"/>
      <w:docPartObj>
        <w:docPartGallery w:val="Page Numbers (Bottom of Page)"/>
        <w:docPartUnique/>
      </w:docPartObj>
    </w:sdtPr>
    <w:sdtEndPr>
      <w:rPr>
        <w:rStyle w:val="PageNumber"/>
      </w:rPr>
    </w:sdtEndPr>
    <w:sdtContent>
      <w:p w14:paraId="7AD14211" w14:textId="5B6899ED" w:rsidR="000B7B7D" w:rsidRDefault="000B7B7D" w:rsidP="00885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24680">
          <w:rPr>
            <w:rStyle w:val="PageNumber"/>
            <w:noProof/>
          </w:rPr>
          <w:t>21</w:t>
        </w:r>
        <w:r>
          <w:rPr>
            <w:rStyle w:val="PageNumber"/>
          </w:rPr>
          <w:fldChar w:fldCharType="end"/>
        </w:r>
      </w:p>
    </w:sdtContent>
  </w:sdt>
  <w:p w14:paraId="3282296E" w14:textId="24A094B1" w:rsidR="000B7B7D" w:rsidRDefault="000B7B7D" w:rsidP="00885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D18A1" w14:textId="77777777" w:rsidR="00BC45FF" w:rsidRDefault="00BC45FF">
      <w:r>
        <w:separator/>
      </w:r>
    </w:p>
  </w:footnote>
  <w:footnote w:type="continuationSeparator" w:id="0">
    <w:p w14:paraId="39576249" w14:textId="77777777" w:rsidR="00BC45FF" w:rsidRDefault="00BC45FF">
      <w:r>
        <w:continuationSeparator/>
      </w:r>
    </w:p>
  </w:footnote>
  <w:footnote w:type="continuationNotice" w:id="1">
    <w:p w14:paraId="20DF1889" w14:textId="77777777" w:rsidR="00BC45FF" w:rsidRDefault="00BC45FF"/>
  </w:footnote>
  <w:footnote w:id="2">
    <w:p w14:paraId="18ED4F77" w14:textId="77777777" w:rsidR="000B7B7D" w:rsidRDefault="000B7B7D" w:rsidP="00885640">
      <w:pPr>
        <w:pStyle w:val="FootnoteText"/>
      </w:pPr>
      <w:r>
        <w:rPr>
          <w:rStyle w:val="FootnoteReference"/>
        </w:rPr>
        <w:footnoteRef/>
      </w:r>
      <w:r>
        <w:t xml:space="preserve"> </w:t>
      </w:r>
      <w:r w:rsidRPr="008C002C">
        <w:rPr>
          <w:rFonts w:ascii="Arial" w:hAnsi="Arial" w:cs="Arial"/>
        </w:rPr>
        <w:t>Analysis is stratified by age categories</w:t>
      </w:r>
    </w:p>
  </w:footnote>
  <w:footnote w:id="3">
    <w:p w14:paraId="630E4A04" w14:textId="77777777" w:rsidR="000B7B7D" w:rsidRDefault="000B7B7D" w:rsidP="00885640">
      <w:pPr>
        <w:pStyle w:val="FootnoteText"/>
      </w:pPr>
      <w:r>
        <w:rPr>
          <w:rStyle w:val="FootnoteReference"/>
        </w:rPr>
        <w:footnoteRef/>
      </w:r>
      <w:r>
        <w:t xml:space="preserve"> </w:t>
      </w:r>
      <w:r w:rsidRPr="008C002C">
        <w:rPr>
          <w:rFonts w:ascii="Arial" w:hAnsi="Arial" w:cs="Arial"/>
        </w:rPr>
        <w:t>Système</w:t>
      </w:r>
      <w:r>
        <w:rPr>
          <w:rFonts w:ascii="Arial" w:hAnsi="Arial" w:cs="Arial"/>
          <w:noProof/>
        </w:rPr>
        <w:t xml:space="preserve">HERR, M., ROBINE, J.-M., AEGERTER, P., ARVIEU, J.-J. &amp; ANKRI, J. 2015. Contribution of socioeconomic position over life to frailty differences in old age: comparison of life-course models in a French sample of 2350 old people. </w:t>
      </w:r>
      <w:r w:rsidRPr="00013605">
        <w:rPr>
          <w:rFonts w:ascii="Arial" w:hAnsi="Arial" w:cs="Arial"/>
          <w:i/>
          <w:noProof/>
        </w:rPr>
        <w:t>Annals of Epidemiology,</w:t>
      </w:r>
      <w:r>
        <w:rPr>
          <w:rFonts w:ascii="Arial" w:hAnsi="Arial" w:cs="Arial"/>
          <w:noProof/>
        </w:rPr>
        <w:t xml:space="preserve"> 25</w:t>
      </w:r>
      <w:r w:rsidRPr="00013605">
        <w:rPr>
          <w:rFonts w:ascii="Arial" w:hAnsi="Arial" w:cs="Arial"/>
          <w:b/>
          <w:noProof/>
        </w:rPr>
        <w:t>,</w:t>
      </w:r>
      <w:r>
        <w:rPr>
          <w:rFonts w:ascii="Arial" w:hAnsi="Arial" w:cs="Arial"/>
          <w:noProof/>
        </w:rPr>
        <w:t xml:space="preserve"> 674-680.e1.</w:t>
      </w:r>
      <w:r w:rsidRPr="008C002C">
        <w:rPr>
          <w:rFonts w:ascii="Arial" w:hAnsi="Arial" w:cs="Arial"/>
        </w:rPr>
        <w:t xml:space="preserve"> d’Information sur la Perte d’Autonomie Fonctionnelle de la personne âgée</w:t>
      </w:r>
    </w:p>
  </w:footnote>
  <w:footnote w:id="4">
    <w:p w14:paraId="363A67BA" w14:textId="77777777" w:rsidR="000B7B7D" w:rsidRDefault="000B7B7D" w:rsidP="00885640">
      <w:pPr>
        <w:pStyle w:val="FootnoteText"/>
      </w:pPr>
      <w:r>
        <w:rPr>
          <w:rStyle w:val="FootnoteReference"/>
        </w:rPr>
        <w:footnoteRef/>
      </w:r>
      <w:r>
        <w:t xml:space="preserve"> </w:t>
      </w:r>
      <w:r w:rsidRPr="008C002C">
        <w:rPr>
          <w:rFonts w:ascii="Arial" w:hAnsi="Arial" w:cs="Arial"/>
        </w:rPr>
        <w:t>Epidemiologische Studie zu Chancen der Verhütung, Früherkennung und optimierten Therapie chronischer Erkrankungen in der älteren Bevölkerung.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D48A" w14:textId="77777777" w:rsidR="000B7B7D" w:rsidRPr="0065389D" w:rsidRDefault="000B7B7D" w:rsidP="00627C8C">
    <w:pPr>
      <w:pStyle w:val="Header"/>
      <w:tabs>
        <w:tab w:val="clear" w:pos="794"/>
        <w:tab w:val="clear" w:pos="1588"/>
        <w:tab w:val="clear" w:pos="2381"/>
        <w:tab w:val="clear" w:pos="3175"/>
        <w:tab w:val="clear" w:pos="3969"/>
        <w:tab w:val="clear" w:pos="4153"/>
        <w:tab w:val="clear" w:pos="4763"/>
        <w:tab w:val="clear" w:pos="5557"/>
        <w:tab w:val="clear" w:pos="6350"/>
        <w:tab w:val="clear" w:pos="7144"/>
        <w:tab w:val="clear" w:pos="7938"/>
        <w:tab w:val="clear" w:pos="8306"/>
        <w:tab w:val="clear" w:pos="8732"/>
        <w:tab w:val="clear" w:pos="9526"/>
        <w:tab w:val="clear" w:pos="10319"/>
        <w:tab w:val="left" w:pos="5157"/>
      </w:tabs>
      <w:spacing w:after="2089"/>
      <w:rPr>
        <w:color w:val="015A82"/>
        <w:sz w:val="2"/>
        <w:szCs w:val="2"/>
      </w:rPr>
    </w:pPr>
    <w:r>
      <w:rPr>
        <w:noProof/>
        <w:color w:val="015A82"/>
        <w:sz w:val="2"/>
        <w:szCs w:val="2"/>
      </w:rPr>
      <mc:AlternateContent>
        <mc:Choice Requires="wps">
          <w:drawing>
            <wp:anchor distT="0" distB="0" distL="114300" distR="114300" simplePos="0" relativeHeight="251656192" behindDoc="1" locked="0" layoutInCell="1" allowOverlap="1" wp14:anchorId="3D3E9DAF" wp14:editId="26340F3A">
              <wp:simplePos x="0" y="0"/>
              <wp:positionH relativeFrom="column">
                <wp:posOffset>-914400</wp:posOffset>
              </wp:positionH>
              <wp:positionV relativeFrom="page">
                <wp:posOffset>0</wp:posOffset>
              </wp:positionV>
              <wp:extent cx="8477885" cy="1259840"/>
              <wp:effectExtent l="0" t="0" r="0" b="0"/>
              <wp:wrapNone/>
              <wp:docPr id="1" name="IdBa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1259840"/>
                      </a:xfrm>
                      <a:prstGeom prst="rect">
                        <a:avLst/>
                      </a:prstGeom>
                      <a:solidFill>
                        <a:srgbClr val="89020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8E02" id="IdBand" o:spid="_x0000_s1026" style="position:absolute;margin-left:-1in;margin-top:0;width:667.5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" fillcolor="#890203" stroked="f">
              <w10:wrap anchory="page"/>
            </v:rect>
          </w:pict>
        </mc:Fallback>
      </mc:AlternateContent>
    </w:r>
    <w:r>
      <w:rPr>
        <w:noProof/>
        <w:color w:val="015A82"/>
        <w:sz w:val="2"/>
        <w:szCs w:val="2"/>
      </w:rPr>
      <w:drawing>
        <wp:anchor distT="0" distB="0" distL="114300" distR="114300" simplePos="0" relativeHeight="251661312" behindDoc="0" locked="0" layoutInCell="1" allowOverlap="1" wp14:anchorId="3638F6F1" wp14:editId="42665158">
          <wp:simplePos x="0" y="0"/>
          <wp:positionH relativeFrom="column">
            <wp:posOffset>3933336</wp:posOffset>
          </wp:positionH>
          <wp:positionV relativeFrom="paragraph">
            <wp:posOffset>312420</wp:posOffset>
          </wp:positionV>
          <wp:extent cx="2401570" cy="681990"/>
          <wp:effectExtent l="0" t="0" r="0" b="3810"/>
          <wp:wrapNone/>
          <wp:docPr id="10" name="Picture 1" descr="LeedsUni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White"/>
                  <pic:cNvPicPr>
                    <a:picLocks noChangeAspect="1" noChangeArrowheads="1"/>
                  </pic:cNvPicPr>
                </pic:nvPicPr>
                <pic:blipFill>
                  <a:blip r:embed="rId1"/>
                  <a:srcRect/>
                  <a:stretch>
                    <a:fillRect/>
                  </a:stretch>
                </pic:blipFill>
                <pic:spPr bwMode="auto">
                  <a:xfrm>
                    <a:off x="0" y="0"/>
                    <a:ext cx="2401570" cy="681990"/>
                  </a:xfrm>
                  <a:prstGeom prst="rect">
                    <a:avLst/>
                  </a:prstGeom>
                  <a:noFill/>
                  <a:ln w="9525">
                    <a:noFill/>
                    <a:miter lim="800000"/>
                    <a:headEnd/>
                    <a:tailEnd/>
                  </a:ln>
                </pic:spPr>
              </pic:pic>
            </a:graphicData>
          </a:graphic>
        </wp:anchor>
      </w:drawing>
    </w:r>
    <w:r>
      <w:rPr>
        <w:noProof/>
        <w:color w:val="015A82"/>
        <w:sz w:val="2"/>
        <w:szCs w:val="2"/>
      </w:rPr>
      <mc:AlternateContent>
        <mc:Choice Requires="wps">
          <w:drawing>
            <wp:anchor distT="0" distB="0" distL="114300" distR="114300" simplePos="0" relativeHeight="251657216" behindDoc="0" locked="1" layoutInCell="1" allowOverlap="1" wp14:anchorId="6A4B75FB" wp14:editId="6BFA164B">
              <wp:simplePos x="0" y="0"/>
              <wp:positionH relativeFrom="page">
                <wp:posOffset>0</wp:posOffset>
              </wp:positionH>
              <wp:positionV relativeFrom="page">
                <wp:posOffset>339090</wp:posOffset>
              </wp:positionV>
              <wp:extent cx="3316605" cy="723900"/>
              <wp:effectExtent l="0" t="0" r="0" b="3810"/>
              <wp:wrapNone/>
              <wp:docPr id="2" name="YCHI_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2236" w14:textId="77777777" w:rsidR="000B7B7D" w:rsidRPr="00773E20" w:rsidRDefault="000B7B7D" w:rsidP="004B600D">
                          <w:pPr>
                            <w:pStyle w:val="LIHSNameheader"/>
                          </w:pPr>
                          <w:r>
                            <w:t xml:space="preserve">Leeds Institute of </w:t>
                          </w:r>
                          <w:r>
                            <w:br/>
                            <w:t>Health Sciences</w:t>
                          </w:r>
                        </w:p>
                        <w:p w14:paraId="041C7100" w14:textId="77777777" w:rsidR="000B7B7D" w:rsidRPr="00773E20" w:rsidRDefault="000B7B7D" w:rsidP="004B600D">
                          <w:pPr>
                            <w:pStyle w:val="Facultynameheader"/>
                          </w:pPr>
                          <w:r w:rsidRPr="00773E20">
                            <w:t>Faculty of Medicine and Health</w:t>
                          </w:r>
                        </w:p>
                      </w:txbxContent>
                    </wps:txbx>
                    <wps:bodyPr rot="0" vert="horz" wrap="square" lIns="36000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4B75FB" id="_x0000_t202" coordsize="21600,21600" o:spt="202" path="m,l,21600r21600,l21600,xe">
              <v:stroke joinstyle="miter"/>
              <v:path gradientshapeok="t" o:connecttype="rect"/>
            </v:shapetype>
            <v:shape id="YCHI_Text" o:spid="_x0000_s1039" type="#_x0000_t202" style="position:absolute;margin-left:0;margin-top:26.7pt;width:261.15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" filled="f" stroked="f">
              <v:textbox style="mso-fit-shape-to-text:t" inset="10mm,0,,0">
                <w:txbxContent>
                  <w:p w14:paraId="76BB2236" w14:textId="77777777" w:rsidR="000B7B7D" w:rsidRPr="00773E20" w:rsidRDefault="000B7B7D" w:rsidP="004B600D">
                    <w:pPr>
                      <w:pStyle w:val="LIHSNameheader"/>
                    </w:pPr>
                    <w:r>
                      <w:t xml:space="preserve">Leeds Institute of </w:t>
                    </w:r>
                    <w:r>
                      <w:br/>
                      <w:t>Health Sciences</w:t>
                    </w:r>
                  </w:p>
                  <w:p w14:paraId="041C7100" w14:textId="77777777" w:rsidR="000B7B7D" w:rsidRPr="00773E20" w:rsidRDefault="000B7B7D" w:rsidP="004B600D">
                    <w:pPr>
                      <w:pStyle w:val="Facultynameheader"/>
                    </w:pPr>
                    <w:r w:rsidRPr="00773E20">
                      <w:t>Faculty of Medicine and Health</w:t>
                    </w:r>
                  </w:p>
                </w:txbxContent>
              </v:textbox>
              <w10:wrap anchorx="page" anchory="page"/>
              <w10:anchorlock/>
            </v:shape>
          </w:pict>
        </mc:Fallback>
      </mc:AlternateContent>
    </w:r>
    <w:r>
      <w:rPr>
        <w:color w:val="015A82"/>
        <w:sz w:val="2"/>
        <w:szCs w:val="2"/>
      </w:rPr>
      <w:t>x</w:t>
    </w:r>
    <w:r>
      <w:rPr>
        <w:color w:val="015A82"/>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3E0F"/>
    <w:multiLevelType w:val="hybridMultilevel"/>
    <w:tmpl w:val="030C2F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F006B"/>
    <w:multiLevelType w:val="hybridMultilevel"/>
    <w:tmpl w:val="22FC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4205F"/>
    <w:multiLevelType w:val="hybridMultilevel"/>
    <w:tmpl w:val="37A87EF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EB7171"/>
    <w:multiLevelType w:val="hybridMultilevel"/>
    <w:tmpl w:val="B4C43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22CC0"/>
    <w:multiLevelType w:val="multilevel"/>
    <w:tmpl w:val="675EF750"/>
    <w:numStyleLink w:val="Headings"/>
  </w:abstractNum>
  <w:abstractNum w:abstractNumId="5" w15:restartNumberingAfterBreak="0">
    <w:nsid w:val="32C44566"/>
    <w:multiLevelType w:val="hybridMultilevel"/>
    <w:tmpl w:val="5DE80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13D5A"/>
    <w:multiLevelType w:val="hybridMultilevel"/>
    <w:tmpl w:val="C8E6A5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A3325"/>
    <w:multiLevelType w:val="hybridMultilevel"/>
    <w:tmpl w:val="EF7AC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51E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062D92"/>
    <w:multiLevelType w:val="hybridMultilevel"/>
    <w:tmpl w:val="58704A2C"/>
    <w:lvl w:ilvl="0" w:tplc="EDD6C4A0">
      <w:start w:val="1"/>
      <w:numFmt w:val="decimal"/>
      <w:pStyle w:val="COVERNumberedaffiliationdetails8ptcent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9476B"/>
    <w:multiLevelType w:val="hybridMultilevel"/>
    <w:tmpl w:val="0F463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2309"/>
    <w:multiLevelType w:val="hybridMultilevel"/>
    <w:tmpl w:val="4698B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CD4932"/>
    <w:multiLevelType w:val="hybridMultilevel"/>
    <w:tmpl w:val="09E859E6"/>
    <w:lvl w:ilvl="0" w:tplc="7B04C2A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7620B0B"/>
    <w:multiLevelType w:val="hybridMultilevel"/>
    <w:tmpl w:val="C3B0B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73F20"/>
    <w:multiLevelType w:val="hybridMultilevel"/>
    <w:tmpl w:val="E04A2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DE3B11"/>
    <w:multiLevelType w:val="hybridMultilevel"/>
    <w:tmpl w:val="8FE6C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B59C7"/>
    <w:multiLevelType w:val="multilevel"/>
    <w:tmpl w:val="675EF75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3.%2.%1"/>
      <w:lvlJc w:val="left"/>
      <w:pPr>
        <w:ind w:left="357" w:hanging="357"/>
      </w:pPr>
      <w:rPr>
        <w:rFonts w:hint="default"/>
      </w:rPr>
    </w:lvl>
    <w:lvl w:ilvl="3">
      <w:start w:val="1"/>
      <w:numFmt w:val="decimal"/>
      <w:pStyle w:val="Heading4"/>
      <w:lvlText w:val="%4.%1.%2.%3"/>
      <w:lvlJc w:val="left"/>
      <w:pPr>
        <w:ind w:left="357" w:hanging="357"/>
      </w:pPr>
      <w:rPr>
        <w:rFonts w:hint="default"/>
      </w:rPr>
    </w:lvl>
    <w:lvl w:ilvl="4">
      <w:start w:val="1"/>
      <w:numFmt w:val="decimal"/>
      <w:pStyle w:val="Heading5"/>
      <w:lvlText w:val="%5.%1.%2.%3.%4"/>
      <w:lvlJc w:val="left"/>
      <w:pPr>
        <w:ind w:left="357" w:hanging="357"/>
      </w:pPr>
      <w:rPr>
        <w:rFonts w:hint="default"/>
      </w:rPr>
    </w:lvl>
    <w:lvl w:ilvl="5">
      <w:start w:val="1"/>
      <w:numFmt w:val="lowerRoman"/>
      <w:pStyle w:val="Heading6"/>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7" w15:restartNumberingAfterBreak="0">
    <w:nsid w:val="718C4B0F"/>
    <w:multiLevelType w:val="hybridMultilevel"/>
    <w:tmpl w:val="A670B628"/>
    <w:lvl w:ilvl="0" w:tplc="EB301F72">
      <w:numFmt w:val="bullet"/>
      <w:lvlText w:val=""/>
      <w:lvlJc w:val="left"/>
      <w:pPr>
        <w:ind w:left="720" w:hanging="360"/>
      </w:pPr>
      <w:rPr>
        <w:rFonts w:ascii="Symbol" w:eastAsiaTheme="minorHAnsi" w:hAnsi="Symbol" w:cstheme="minorBid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569DC"/>
    <w:multiLevelType w:val="hybridMultilevel"/>
    <w:tmpl w:val="5DE80F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132A9C"/>
    <w:multiLevelType w:val="hybridMultilevel"/>
    <w:tmpl w:val="B4C43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5848938">
    <w:abstractNumId w:val="9"/>
  </w:num>
  <w:num w:numId="2" w16cid:durableId="1556895550">
    <w:abstractNumId w:val="16"/>
  </w:num>
  <w:num w:numId="3" w16cid:durableId="1294678640">
    <w:abstractNumId w:val="4"/>
  </w:num>
  <w:num w:numId="4" w16cid:durableId="7184348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3643695">
    <w:abstractNumId w:val="10"/>
  </w:num>
  <w:num w:numId="6" w16cid:durableId="806047608">
    <w:abstractNumId w:val="5"/>
  </w:num>
  <w:num w:numId="7" w16cid:durableId="578246443">
    <w:abstractNumId w:val="8"/>
  </w:num>
  <w:num w:numId="8" w16cid:durableId="1082878236">
    <w:abstractNumId w:val="15"/>
  </w:num>
  <w:num w:numId="9" w16cid:durableId="1946419715">
    <w:abstractNumId w:val="18"/>
  </w:num>
  <w:num w:numId="10" w16cid:durableId="949817996">
    <w:abstractNumId w:val="6"/>
  </w:num>
  <w:num w:numId="11" w16cid:durableId="1701474708">
    <w:abstractNumId w:val="11"/>
  </w:num>
  <w:num w:numId="12" w16cid:durableId="206112535">
    <w:abstractNumId w:val="17"/>
  </w:num>
  <w:num w:numId="13" w16cid:durableId="1313680643">
    <w:abstractNumId w:val="14"/>
  </w:num>
  <w:num w:numId="14" w16cid:durableId="1316911722">
    <w:abstractNumId w:val="1"/>
  </w:num>
  <w:num w:numId="15" w16cid:durableId="594477263">
    <w:abstractNumId w:val="13"/>
  </w:num>
  <w:num w:numId="16" w16cid:durableId="818038227">
    <w:abstractNumId w:val="0"/>
  </w:num>
  <w:num w:numId="17" w16cid:durableId="22023642">
    <w:abstractNumId w:val="19"/>
  </w:num>
  <w:num w:numId="18" w16cid:durableId="1431664185">
    <w:abstractNumId w:val="3"/>
  </w:num>
  <w:num w:numId="19" w16cid:durableId="379473925">
    <w:abstractNumId w:val="7"/>
  </w:num>
  <w:num w:numId="20" w16cid:durableId="153322975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savePreviewPicture/>
  <w:hdrShapeDefaults>
    <o:shapedefaults v:ext="edit" spidmax="2050">
      <o:colormru v:ext="edit" colors="#00688b,#00668d,#015a82,#013159"/>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2sDQxNTEwMDECUko6SsGpxcWZ+XkgBca1ADGYW/0sAAAA"/>
    <w:docVar w:name="EN.InstantFormat" w:val="&lt;ENInstantFormat&gt;&lt;Enabled&gt;0&lt;/Enabled&gt;&lt;ScanUnformatted&gt;1&lt;/ScanUnformatted&gt;&lt;ScanChanges&gt;1&lt;/ScanChanges&gt;&lt;Suspended&gt;0&lt;/Suspended&gt;&lt;/ENInstantFormat&gt;"/>
    <w:docVar w:name="EN.Layout" w:val="&lt;ENLayout&gt;&lt;Style&gt;BJOG&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99r99ats5razepsxbpasp4dxwa52t5sprp&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record-ids&gt;&lt;/item&gt;&lt;/Libraries&gt;"/>
  </w:docVars>
  <w:rsids>
    <w:rsidRoot w:val="007E457F"/>
    <w:rsid w:val="00006F00"/>
    <w:rsid w:val="00010054"/>
    <w:rsid w:val="00027B3D"/>
    <w:rsid w:val="00030719"/>
    <w:rsid w:val="000407CF"/>
    <w:rsid w:val="000424B4"/>
    <w:rsid w:val="00062984"/>
    <w:rsid w:val="000631FE"/>
    <w:rsid w:val="00094A86"/>
    <w:rsid w:val="00095CD9"/>
    <w:rsid w:val="000B7B7D"/>
    <w:rsid w:val="000C1DE7"/>
    <w:rsid w:val="000C572F"/>
    <w:rsid w:val="000C6B81"/>
    <w:rsid w:val="000C6EA2"/>
    <w:rsid w:val="000C7D39"/>
    <w:rsid w:val="000D1D46"/>
    <w:rsid w:val="000D748C"/>
    <w:rsid w:val="000D76FB"/>
    <w:rsid w:val="000E559B"/>
    <w:rsid w:val="000F6088"/>
    <w:rsid w:val="00100930"/>
    <w:rsid w:val="00100A17"/>
    <w:rsid w:val="00100CF9"/>
    <w:rsid w:val="00117CBE"/>
    <w:rsid w:val="00120345"/>
    <w:rsid w:val="001334A0"/>
    <w:rsid w:val="00133960"/>
    <w:rsid w:val="00137A82"/>
    <w:rsid w:val="00145E16"/>
    <w:rsid w:val="0016009D"/>
    <w:rsid w:val="00162340"/>
    <w:rsid w:val="0016523F"/>
    <w:rsid w:val="00195724"/>
    <w:rsid w:val="001A0646"/>
    <w:rsid w:val="001B256A"/>
    <w:rsid w:val="001C231D"/>
    <w:rsid w:val="001C6A09"/>
    <w:rsid w:val="001D1D6C"/>
    <w:rsid w:val="001E3A0E"/>
    <w:rsid w:val="001E6448"/>
    <w:rsid w:val="00213E7C"/>
    <w:rsid w:val="0021413A"/>
    <w:rsid w:val="00216464"/>
    <w:rsid w:val="002177AA"/>
    <w:rsid w:val="00226CDF"/>
    <w:rsid w:val="00243761"/>
    <w:rsid w:val="00243A58"/>
    <w:rsid w:val="00250DB3"/>
    <w:rsid w:val="0025296C"/>
    <w:rsid w:val="002646CA"/>
    <w:rsid w:val="00280042"/>
    <w:rsid w:val="0028114F"/>
    <w:rsid w:val="0029626B"/>
    <w:rsid w:val="002A351F"/>
    <w:rsid w:val="002A46B7"/>
    <w:rsid w:val="002B7AE2"/>
    <w:rsid w:val="002C1FCE"/>
    <w:rsid w:val="002C6417"/>
    <w:rsid w:val="002D002B"/>
    <w:rsid w:val="002D2641"/>
    <w:rsid w:val="002D3787"/>
    <w:rsid w:val="002E0B9D"/>
    <w:rsid w:val="002E7727"/>
    <w:rsid w:val="002F01ED"/>
    <w:rsid w:val="003051BA"/>
    <w:rsid w:val="00324F41"/>
    <w:rsid w:val="00332562"/>
    <w:rsid w:val="003358AE"/>
    <w:rsid w:val="00340B6B"/>
    <w:rsid w:val="00341B08"/>
    <w:rsid w:val="00346219"/>
    <w:rsid w:val="00352471"/>
    <w:rsid w:val="00367A1D"/>
    <w:rsid w:val="00371CCE"/>
    <w:rsid w:val="00381A8E"/>
    <w:rsid w:val="00385F6F"/>
    <w:rsid w:val="003A3189"/>
    <w:rsid w:val="003B022A"/>
    <w:rsid w:val="003D6883"/>
    <w:rsid w:val="003D7CEF"/>
    <w:rsid w:val="003E021C"/>
    <w:rsid w:val="003E20D8"/>
    <w:rsid w:val="003E6D05"/>
    <w:rsid w:val="003E7091"/>
    <w:rsid w:val="003F51BC"/>
    <w:rsid w:val="003F546A"/>
    <w:rsid w:val="003F733C"/>
    <w:rsid w:val="00410379"/>
    <w:rsid w:val="00413605"/>
    <w:rsid w:val="0044086D"/>
    <w:rsid w:val="004408CB"/>
    <w:rsid w:val="00440D9A"/>
    <w:rsid w:val="004568B6"/>
    <w:rsid w:val="00467F7A"/>
    <w:rsid w:val="00470C8B"/>
    <w:rsid w:val="00470F7B"/>
    <w:rsid w:val="004759FB"/>
    <w:rsid w:val="00476E15"/>
    <w:rsid w:val="004801F8"/>
    <w:rsid w:val="00493BC1"/>
    <w:rsid w:val="00493C88"/>
    <w:rsid w:val="004B600D"/>
    <w:rsid w:val="004C5138"/>
    <w:rsid w:val="004E525D"/>
    <w:rsid w:val="004E70FE"/>
    <w:rsid w:val="00501AA4"/>
    <w:rsid w:val="00535A1E"/>
    <w:rsid w:val="00545B95"/>
    <w:rsid w:val="005620C3"/>
    <w:rsid w:val="00563504"/>
    <w:rsid w:val="0058658A"/>
    <w:rsid w:val="005877C8"/>
    <w:rsid w:val="005A3E16"/>
    <w:rsid w:val="005B2E02"/>
    <w:rsid w:val="005B730E"/>
    <w:rsid w:val="005C108D"/>
    <w:rsid w:val="005D0C25"/>
    <w:rsid w:val="005D0FAA"/>
    <w:rsid w:val="005D7738"/>
    <w:rsid w:val="005E4D25"/>
    <w:rsid w:val="005E686F"/>
    <w:rsid w:val="005E7ED8"/>
    <w:rsid w:val="005F3FBB"/>
    <w:rsid w:val="00604C0C"/>
    <w:rsid w:val="00605468"/>
    <w:rsid w:val="0061526B"/>
    <w:rsid w:val="006154E2"/>
    <w:rsid w:val="006229F6"/>
    <w:rsid w:val="00624680"/>
    <w:rsid w:val="00627C8C"/>
    <w:rsid w:val="006355FC"/>
    <w:rsid w:val="00635FD5"/>
    <w:rsid w:val="006379CC"/>
    <w:rsid w:val="00641982"/>
    <w:rsid w:val="00641B97"/>
    <w:rsid w:val="00652EB9"/>
    <w:rsid w:val="0065389D"/>
    <w:rsid w:val="00664A34"/>
    <w:rsid w:val="006763CE"/>
    <w:rsid w:val="00680C3D"/>
    <w:rsid w:val="00681B93"/>
    <w:rsid w:val="00684F25"/>
    <w:rsid w:val="00690B3E"/>
    <w:rsid w:val="00696831"/>
    <w:rsid w:val="006B0832"/>
    <w:rsid w:val="006B3D9B"/>
    <w:rsid w:val="006D515C"/>
    <w:rsid w:val="006F5ED7"/>
    <w:rsid w:val="00711113"/>
    <w:rsid w:val="007233FD"/>
    <w:rsid w:val="00725B72"/>
    <w:rsid w:val="00730ECC"/>
    <w:rsid w:val="007343ED"/>
    <w:rsid w:val="00746B53"/>
    <w:rsid w:val="00753D57"/>
    <w:rsid w:val="00763952"/>
    <w:rsid w:val="00763DB1"/>
    <w:rsid w:val="00773E20"/>
    <w:rsid w:val="0078120B"/>
    <w:rsid w:val="00787C3C"/>
    <w:rsid w:val="00790628"/>
    <w:rsid w:val="007953D8"/>
    <w:rsid w:val="0079602E"/>
    <w:rsid w:val="007B2FBC"/>
    <w:rsid w:val="007B348E"/>
    <w:rsid w:val="007B3C64"/>
    <w:rsid w:val="007B4BC0"/>
    <w:rsid w:val="007E3422"/>
    <w:rsid w:val="007E457F"/>
    <w:rsid w:val="007E52E2"/>
    <w:rsid w:val="007F22B7"/>
    <w:rsid w:val="00800CB2"/>
    <w:rsid w:val="00805C2D"/>
    <w:rsid w:val="0081684A"/>
    <w:rsid w:val="00836CF2"/>
    <w:rsid w:val="008418E3"/>
    <w:rsid w:val="008616FE"/>
    <w:rsid w:val="00863F50"/>
    <w:rsid w:val="00880405"/>
    <w:rsid w:val="00881DB6"/>
    <w:rsid w:val="00884DFB"/>
    <w:rsid w:val="00885640"/>
    <w:rsid w:val="008869D5"/>
    <w:rsid w:val="008956A4"/>
    <w:rsid w:val="00897A4F"/>
    <w:rsid w:val="008A103C"/>
    <w:rsid w:val="008A1E63"/>
    <w:rsid w:val="008A7C46"/>
    <w:rsid w:val="008B0BB8"/>
    <w:rsid w:val="008B5C89"/>
    <w:rsid w:val="008F2A96"/>
    <w:rsid w:val="008F3DF9"/>
    <w:rsid w:val="00906A64"/>
    <w:rsid w:val="00906F2C"/>
    <w:rsid w:val="0091271E"/>
    <w:rsid w:val="00922DED"/>
    <w:rsid w:val="00924B80"/>
    <w:rsid w:val="009441B3"/>
    <w:rsid w:val="00946FB5"/>
    <w:rsid w:val="009517F8"/>
    <w:rsid w:val="00951BCD"/>
    <w:rsid w:val="0097249B"/>
    <w:rsid w:val="00983CD0"/>
    <w:rsid w:val="009857CD"/>
    <w:rsid w:val="00987B44"/>
    <w:rsid w:val="009A3128"/>
    <w:rsid w:val="009A3BF5"/>
    <w:rsid w:val="009B3D53"/>
    <w:rsid w:val="009B57CA"/>
    <w:rsid w:val="009C0B3D"/>
    <w:rsid w:val="009D1B8B"/>
    <w:rsid w:val="009D4EBF"/>
    <w:rsid w:val="009E0D18"/>
    <w:rsid w:val="009F118E"/>
    <w:rsid w:val="009F4501"/>
    <w:rsid w:val="009F4B6E"/>
    <w:rsid w:val="009F534B"/>
    <w:rsid w:val="00A009AB"/>
    <w:rsid w:val="00A02AB5"/>
    <w:rsid w:val="00A12E00"/>
    <w:rsid w:val="00A13B9E"/>
    <w:rsid w:val="00A14012"/>
    <w:rsid w:val="00A27137"/>
    <w:rsid w:val="00A300C2"/>
    <w:rsid w:val="00A50154"/>
    <w:rsid w:val="00A638EC"/>
    <w:rsid w:val="00A63D07"/>
    <w:rsid w:val="00A81583"/>
    <w:rsid w:val="00A95CF2"/>
    <w:rsid w:val="00A961D8"/>
    <w:rsid w:val="00A96D87"/>
    <w:rsid w:val="00AA24D4"/>
    <w:rsid w:val="00AA34F6"/>
    <w:rsid w:val="00AC2083"/>
    <w:rsid w:val="00AC48ED"/>
    <w:rsid w:val="00AD5234"/>
    <w:rsid w:val="00AF640B"/>
    <w:rsid w:val="00B23310"/>
    <w:rsid w:val="00B27A69"/>
    <w:rsid w:val="00B30339"/>
    <w:rsid w:val="00B40D9D"/>
    <w:rsid w:val="00B504B4"/>
    <w:rsid w:val="00B5285F"/>
    <w:rsid w:val="00B634D2"/>
    <w:rsid w:val="00B63766"/>
    <w:rsid w:val="00B64D1F"/>
    <w:rsid w:val="00B71201"/>
    <w:rsid w:val="00B772AF"/>
    <w:rsid w:val="00B83482"/>
    <w:rsid w:val="00B84476"/>
    <w:rsid w:val="00B94DA6"/>
    <w:rsid w:val="00B96BC1"/>
    <w:rsid w:val="00BA2D90"/>
    <w:rsid w:val="00BA5D92"/>
    <w:rsid w:val="00BC45FF"/>
    <w:rsid w:val="00BC6DEB"/>
    <w:rsid w:val="00BD0A6E"/>
    <w:rsid w:val="00BD0CE7"/>
    <w:rsid w:val="00BE3465"/>
    <w:rsid w:val="00BE77D0"/>
    <w:rsid w:val="00BF1D9D"/>
    <w:rsid w:val="00BF3438"/>
    <w:rsid w:val="00C01281"/>
    <w:rsid w:val="00C10894"/>
    <w:rsid w:val="00C26094"/>
    <w:rsid w:val="00C32C2E"/>
    <w:rsid w:val="00C47C8A"/>
    <w:rsid w:val="00C52B3B"/>
    <w:rsid w:val="00C56831"/>
    <w:rsid w:val="00C56B1F"/>
    <w:rsid w:val="00C62B78"/>
    <w:rsid w:val="00C6602E"/>
    <w:rsid w:val="00C75EBE"/>
    <w:rsid w:val="00C84C44"/>
    <w:rsid w:val="00C93987"/>
    <w:rsid w:val="00C93B42"/>
    <w:rsid w:val="00CA1646"/>
    <w:rsid w:val="00CA783B"/>
    <w:rsid w:val="00CB1F90"/>
    <w:rsid w:val="00CB5ECD"/>
    <w:rsid w:val="00CC4B78"/>
    <w:rsid w:val="00CC7E7B"/>
    <w:rsid w:val="00CD2459"/>
    <w:rsid w:val="00CD56FE"/>
    <w:rsid w:val="00CE3D85"/>
    <w:rsid w:val="00CF2CC0"/>
    <w:rsid w:val="00CF7A89"/>
    <w:rsid w:val="00D01302"/>
    <w:rsid w:val="00D013B7"/>
    <w:rsid w:val="00D07B71"/>
    <w:rsid w:val="00D2730F"/>
    <w:rsid w:val="00D2746B"/>
    <w:rsid w:val="00D33DF6"/>
    <w:rsid w:val="00D44973"/>
    <w:rsid w:val="00D60773"/>
    <w:rsid w:val="00D64F6D"/>
    <w:rsid w:val="00D65D60"/>
    <w:rsid w:val="00D679C3"/>
    <w:rsid w:val="00D834C7"/>
    <w:rsid w:val="00D85A2F"/>
    <w:rsid w:val="00D86424"/>
    <w:rsid w:val="00D9062B"/>
    <w:rsid w:val="00D93EE2"/>
    <w:rsid w:val="00DB4A48"/>
    <w:rsid w:val="00DC2753"/>
    <w:rsid w:val="00DC2DF5"/>
    <w:rsid w:val="00DC3CB8"/>
    <w:rsid w:val="00DD0B41"/>
    <w:rsid w:val="00DD155C"/>
    <w:rsid w:val="00DD7B83"/>
    <w:rsid w:val="00DE53A4"/>
    <w:rsid w:val="00DF79D5"/>
    <w:rsid w:val="00E016BF"/>
    <w:rsid w:val="00E021BE"/>
    <w:rsid w:val="00E1147C"/>
    <w:rsid w:val="00E13FE4"/>
    <w:rsid w:val="00E1671D"/>
    <w:rsid w:val="00E27EC5"/>
    <w:rsid w:val="00E378F6"/>
    <w:rsid w:val="00E456E1"/>
    <w:rsid w:val="00E46BAF"/>
    <w:rsid w:val="00E52003"/>
    <w:rsid w:val="00E52B06"/>
    <w:rsid w:val="00E61AAF"/>
    <w:rsid w:val="00E7108C"/>
    <w:rsid w:val="00E72DA4"/>
    <w:rsid w:val="00E76664"/>
    <w:rsid w:val="00EA192C"/>
    <w:rsid w:val="00EC490C"/>
    <w:rsid w:val="00ED571E"/>
    <w:rsid w:val="00EE1410"/>
    <w:rsid w:val="00EE2348"/>
    <w:rsid w:val="00EF2335"/>
    <w:rsid w:val="00F0603F"/>
    <w:rsid w:val="00F27543"/>
    <w:rsid w:val="00F27E4B"/>
    <w:rsid w:val="00F3126E"/>
    <w:rsid w:val="00F51281"/>
    <w:rsid w:val="00F5172D"/>
    <w:rsid w:val="00F524AD"/>
    <w:rsid w:val="00F52633"/>
    <w:rsid w:val="00F61D84"/>
    <w:rsid w:val="00F663EC"/>
    <w:rsid w:val="00F72A90"/>
    <w:rsid w:val="00F80A5E"/>
    <w:rsid w:val="00F830E7"/>
    <w:rsid w:val="00F9182B"/>
    <w:rsid w:val="00FA77C0"/>
    <w:rsid w:val="00FC3E42"/>
    <w:rsid w:val="00FE05B6"/>
    <w:rsid w:val="00FE19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88b,#00668d,#015a82,#013159"/>
    </o:shapedefaults>
    <o:shapelayout v:ext="edit">
      <o:idmap v:ext="edit" data="2"/>
    </o:shapelayout>
  </w:shapeDefaults>
  <w:decimalSymbol w:val="."/>
  <w:listSeparator w:val=","/>
  <w14:docId w14:val="55E8A5D3"/>
  <w15:docId w15:val="{994E1259-4926-4627-8953-ABE57006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don't use me"/>
    <w:qFormat/>
    <w:rsid w:val="00A638EC"/>
    <w:rPr>
      <w:szCs w:val="24"/>
    </w:rPr>
  </w:style>
  <w:style w:type="paragraph" w:styleId="Heading1">
    <w:name w:val="heading 1"/>
    <w:next w:val="UniNormal"/>
    <w:link w:val="Heading1Char"/>
    <w:uiPriority w:val="9"/>
    <w:qFormat/>
    <w:rsid w:val="00B504B4"/>
    <w:pPr>
      <w:keepNext/>
      <w:numPr>
        <w:numId w:val="3"/>
      </w:numPr>
      <w:spacing w:before="280" w:line="480" w:lineRule="auto"/>
      <w:contextualSpacing/>
      <w:outlineLvl w:val="0"/>
    </w:pPr>
    <w:rPr>
      <w:rFonts w:cs="Arial"/>
      <w:b/>
      <w:bCs/>
      <w:sz w:val="28"/>
      <w:szCs w:val="32"/>
    </w:rPr>
  </w:style>
  <w:style w:type="paragraph" w:styleId="Heading2">
    <w:name w:val="heading 2"/>
    <w:basedOn w:val="Heading1"/>
    <w:next w:val="UniNormal"/>
    <w:link w:val="Heading2Char"/>
    <w:uiPriority w:val="9"/>
    <w:qFormat/>
    <w:rsid w:val="00B504B4"/>
    <w:pPr>
      <w:numPr>
        <w:ilvl w:val="1"/>
      </w:numPr>
      <w:spacing w:before="240"/>
      <w:outlineLvl w:val="1"/>
    </w:pPr>
    <w:rPr>
      <w:bCs w:val="0"/>
      <w:iCs/>
      <w:sz w:val="24"/>
      <w:szCs w:val="28"/>
    </w:rPr>
  </w:style>
  <w:style w:type="paragraph" w:styleId="Heading3">
    <w:name w:val="heading 3"/>
    <w:basedOn w:val="Heading2"/>
    <w:next w:val="UniNormal"/>
    <w:qFormat/>
    <w:rsid w:val="00B504B4"/>
    <w:pPr>
      <w:numPr>
        <w:ilvl w:val="2"/>
      </w:numPr>
      <w:outlineLvl w:val="2"/>
    </w:pPr>
    <w:rPr>
      <w:b w:val="0"/>
      <w:bCs/>
      <w:i/>
      <w:szCs w:val="26"/>
    </w:rPr>
  </w:style>
  <w:style w:type="paragraph" w:styleId="Heading4">
    <w:name w:val="heading 4"/>
    <w:basedOn w:val="Normal"/>
    <w:next w:val="Normal"/>
    <w:link w:val="Heading4Char"/>
    <w:semiHidden/>
    <w:unhideWhenUsed/>
    <w:qFormat/>
    <w:rsid w:val="00C5683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5683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683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UniNormal"/>
    <w:link w:val="HeaderChar"/>
    <w:uiPriority w:val="99"/>
    <w:rsid w:val="00F5172D"/>
    <w:pPr>
      <w:tabs>
        <w:tab w:val="center" w:pos="4153"/>
        <w:tab w:val="right" w:pos="8306"/>
      </w:tabs>
    </w:pPr>
  </w:style>
  <w:style w:type="paragraph" w:styleId="Footer">
    <w:name w:val="footer"/>
    <w:basedOn w:val="UniNormal"/>
    <w:link w:val="FooterChar"/>
    <w:uiPriority w:val="99"/>
    <w:rsid w:val="00F5172D"/>
    <w:pPr>
      <w:tabs>
        <w:tab w:val="center" w:pos="4153"/>
        <w:tab w:val="right" w:pos="8306"/>
      </w:tabs>
    </w:pPr>
  </w:style>
  <w:style w:type="paragraph" w:customStyle="1" w:styleId="UniTitle">
    <w:name w:val="UniTitle"/>
    <w:basedOn w:val="UniNormal"/>
    <w:next w:val="UniSubtitle"/>
    <w:rsid w:val="00E13FE4"/>
    <w:pPr>
      <w:spacing w:after="180" w:line="720" w:lineRule="exact"/>
      <w:contextualSpacing/>
    </w:pPr>
    <w:rPr>
      <w:sz w:val="64"/>
    </w:rPr>
  </w:style>
  <w:style w:type="paragraph" w:customStyle="1" w:styleId="UniSubtitle">
    <w:name w:val="UniSubtitle"/>
    <w:basedOn w:val="UniNormal"/>
    <w:next w:val="UniNormal"/>
    <w:rsid w:val="00A638EC"/>
    <w:pPr>
      <w:keepNext/>
      <w:spacing w:after="180" w:line="280" w:lineRule="exact"/>
      <w:contextualSpacing/>
    </w:pPr>
    <w:rPr>
      <w:sz w:val="24"/>
    </w:rPr>
  </w:style>
  <w:style w:type="character" w:styleId="Hyperlink">
    <w:name w:val="Hyperlink"/>
    <w:basedOn w:val="DefaultParagraphFont"/>
    <w:uiPriority w:val="99"/>
    <w:rsid w:val="00DC2753"/>
    <w:rPr>
      <w:color w:val="015A82"/>
      <w:u w:val="single"/>
    </w:rPr>
  </w:style>
  <w:style w:type="paragraph" w:customStyle="1" w:styleId="UniNormal">
    <w:name w:val="UniNormal"/>
    <w:rsid w:val="00545B95"/>
    <w:pPr>
      <w:tabs>
        <w:tab w:val="left" w:pos="794"/>
        <w:tab w:val="left" w:pos="1588"/>
        <w:tab w:val="left" w:pos="2381"/>
        <w:tab w:val="left" w:pos="3175"/>
        <w:tab w:val="left" w:pos="3969"/>
        <w:tab w:val="left" w:pos="4763"/>
        <w:tab w:val="left" w:pos="5557"/>
        <w:tab w:val="left" w:pos="6350"/>
        <w:tab w:val="left" w:pos="7144"/>
        <w:tab w:val="left" w:pos="7938"/>
        <w:tab w:val="left" w:pos="8732"/>
        <w:tab w:val="left" w:pos="9526"/>
        <w:tab w:val="left" w:pos="10319"/>
      </w:tabs>
      <w:spacing w:after="120" w:line="240" w:lineRule="exact"/>
    </w:pPr>
    <w:rPr>
      <w:rFonts w:ascii="Arial" w:hAnsi="Arial"/>
      <w:szCs w:val="24"/>
    </w:rPr>
  </w:style>
  <w:style w:type="paragraph" w:customStyle="1" w:styleId="LIHSNameheader">
    <w:name w:val="LIHS Name header"/>
    <w:basedOn w:val="UniNormal"/>
    <w:next w:val="Facultynameheader"/>
    <w:rsid w:val="004B600D"/>
    <w:pPr>
      <w:spacing w:after="0" w:line="400" w:lineRule="exact"/>
    </w:pPr>
    <w:rPr>
      <w:b/>
      <w:color w:val="FFFFFF"/>
      <w:sz w:val="36"/>
      <w:szCs w:val="36"/>
    </w:rPr>
  </w:style>
  <w:style w:type="paragraph" w:customStyle="1" w:styleId="Facultynameheader">
    <w:name w:val="Faculty name header"/>
    <w:basedOn w:val="UniNormal"/>
    <w:rsid w:val="004B600D"/>
    <w:pPr>
      <w:spacing w:before="60" w:after="0" w:line="280" w:lineRule="exact"/>
    </w:pPr>
    <w:rPr>
      <w:caps/>
      <w:color w:val="FFFFFF"/>
      <w:szCs w:val="20"/>
    </w:rPr>
  </w:style>
  <w:style w:type="paragraph" w:customStyle="1" w:styleId="Contactdetails">
    <w:name w:val="Contact details"/>
    <w:basedOn w:val="Footer"/>
    <w:rsid w:val="00F3126E"/>
    <w:pPr>
      <w:tabs>
        <w:tab w:val="clear" w:pos="794"/>
        <w:tab w:val="clear" w:pos="1588"/>
        <w:tab w:val="clear" w:pos="2381"/>
        <w:tab w:val="clear" w:pos="3175"/>
        <w:tab w:val="clear" w:pos="3969"/>
        <w:tab w:val="clear" w:pos="4763"/>
        <w:tab w:val="clear" w:pos="5557"/>
        <w:tab w:val="clear" w:pos="6350"/>
        <w:tab w:val="clear" w:pos="7144"/>
        <w:tab w:val="clear" w:pos="7938"/>
        <w:tab w:val="clear" w:pos="8732"/>
        <w:tab w:val="clear" w:pos="9526"/>
        <w:tab w:val="clear" w:pos="10319"/>
      </w:tabs>
      <w:spacing w:before="20" w:after="0" w:line="240" w:lineRule="auto"/>
    </w:pPr>
    <w:rPr>
      <w:sz w:val="16"/>
      <w:szCs w:val="16"/>
    </w:rPr>
  </w:style>
  <w:style w:type="paragraph" w:customStyle="1" w:styleId="Headerspacer">
    <w:name w:val="Header spacer"/>
    <w:basedOn w:val="Header"/>
    <w:rsid w:val="00C75EBE"/>
    <w:pPr>
      <w:spacing w:after="3444"/>
    </w:pPr>
    <w:rPr>
      <w:color w:val="015A82"/>
      <w:sz w:val="2"/>
      <w:szCs w:val="2"/>
    </w:rPr>
  </w:style>
  <w:style w:type="paragraph" w:customStyle="1" w:styleId="Alternatefont-Garamond">
    <w:name w:val="Alternate font - Garamond"/>
    <w:basedOn w:val="UniNormal"/>
    <w:rsid w:val="00381A8E"/>
    <w:rPr>
      <w:rFonts w:ascii="Garamond" w:hAnsi="Garamond"/>
    </w:rPr>
  </w:style>
  <w:style w:type="paragraph" w:styleId="FootnoteText">
    <w:name w:val="footnote text"/>
    <w:basedOn w:val="Normal"/>
    <w:link w:val="FootnoteTextChar"/>
    <w:uiPriority w:val="99"/>
    <w:rsid w:val="00AF640B"/>
    <w:rPr>
      <w:szCs w:val="20"/>
    </w:rPr>
  </w:style>
  <w:style w:type="character" w:customStyle="1" w:styleId="FootnoteTextChar">
    <w:name w:val="Footnote Text Char"/>
    <w:basedOn w:val="DefaultParagraphFont"/>
    <w:link w:val="FootnoteText"/>
    <w:uiPriority w:val="99"/>
    <w:rsid w:val="00AF640B"/>
  </w:style>
  <w:style w:type="character" w:styleId="FootnoteReference">
    <w:name w:val="footnote reference"/>
    <w:basedOn w:val="DefaultParagraphFont"/>
    <w:uiPriority w:val="99"/>
    <w:rsid w:val="00AF640B"/>
    <w:rPr>
      <w:rFonts w:cs="Times New Roman"/>
      <w:vertAlign w:val="superscript"/>
    </w:rPr>
  </w:style>
  <w:style w:type="paragraph" w:styleId="BalloonText">
    <w:name w:val="Balloon Text"/>
    <w:basedOn w:val="Normal"/>
    <w:link w:val="BalloonTextChar"/>
    <w:uiPriority w:val="99"/>
    <w:rsid w:val="00AF640B"/>
    <w:rPr>
      <w:rFonts w:ascii="Tahoma" w:hAnsi="Tahoma" w:cs="Tahoma"/>
      <w:sz w:val="16"/>
      <w:szCs w:val="16"/>
    </w:rPr>
  </w:style>
  <w:style w:type="character" w:customStyle="1" w:styleId="BalloonTextChar">
    <w:name w:val="Balloon Text Char"/>
    <w:basedOn w:val="DefaultParagraphFont"/>
    <w:link w:val="BalloonText"/>
    <w:uiPriority w:val="99"/>
    <w:rsid w:val="00AF640B"/>
    <w:rPr>
      <w:rFonts w:ascii="Tahoma" w:hAnsi="Tahoma" w:cs="Tahoma"/>
      <w:sz w:val="16"/>
      <w:szCs w:val="16"/>
    </w:rPr>
  </w:style>
  <w:style w:type="character" w:customStyle="1" w:styleId="FooterChar">
    <w:name w:val="Footer Char"/>
    <w:basedOn w:val="DefaultParagraphFont"/>
    <w:link w:val="Footer"/>
    <w:uiPriority w:val="99"/>
    <w:rsid w:val="00897A4F"/>
    <w:rPr>
      <w:rFonts w:ascii="Arial" w:hAnsi="Arial"/>
      <w:szCs w:val="24"/>
    </w:rPr>
  </w:style>
  <w:style w:type="paragraph" w:styleId="ListParagraph">
    <w:name w:val="List Paragraph"/>
    <w:basedOn w:val="Normal"/>
    <w:link w:val="ListParagraphChar"/>
    <w:uiPriority w:val="34"/>
    <w:qFormat/>
    <w:rsid w:val="00413605"/>
    <w:pPr>
      <w:ind w:left="720"/>
      <w:contextualSpacing/>
    </w:pPr>
  </w:style>
  <w:style w:type="paragraph" w:customStyle="1" w:styleId="COVERSMALLCAPITALScentred10pt">
    <w:name w:val="COVER SMALL CAPITALS centred 10pt"/>
    <w:basedOn w:val="Normal"/>
    <w:link w:val="COVERSMALLCAPITALScentred10ptChar"/>
    <w:qFormat/>
    <w:rsid w:val="007E52E2"/>
    <w:pPr>
      <w:spacing w:line="312" w:lineRule="auto"/>
      <w:jc w:val="center"/>
    </w:pPr>
    <w:rPr>
      <w:caps/>
      <w:lang w:val="en-US" w:eastAsia="en-US"/>
    </w:rPr>
  </w:style>
  <w:style w:type="paragraph" w:customStyle="1" w:styleId="COVERTITLEboldcentred16pt">
    <w:name w:val="COVER TITLE bold centred 16pt"/>
    <w:basedOn w:val="Normal"/>
    <w:link w:val="COVERTITLEboldcentred16ptChar"/>
    <w:qFormat/>
    <w:rsid w:val="007E52E2"/>
    <w:pPr>
      <w:spacing w:line="312" w:lineRule="auto"/>
      <w:jc w:val="center"/>
    </w:pPr>
    <w:rPr>
      <w:b/>
      <w:caps/>
      <w:sz w:val="32"/>
      <w:szCs w:val="32"/>
      <w:lang w:val="en-US" w:eastAsia="en-US"/>
    </w:rPr>
  </w:style>
  <w:style w:type="character" w:customStyle="1" w:styleId="COVERSMALLCAPITALScentred10ptChar">
    <w:name w:val="COVER SMALL CAPITALS centred 10pt Char"/>
    <w:basedOn w:val="DefaultParagraphFont"/>
    <w:link w:val="COVERSMALLCAPITALScentred10pt"/>
    <w:rsid w:val="007E52E2"/>
    <w:rPr>
      <w:caps/>
      <w:szCs w:val="24"/>
      <w:lang w:val="en-US" w:eastAsia="en-US"/>
    </w:rPr>
  </w:style>
  <w:style w:type="paragraph" w:customStyle="1" w:styleId="COVERAUTHORSCapitalsCentred12pt">
    <w:name w:val="COVER AUTHORS Capitals Centred 12pt"/>
    <w:basedOn w:val="Normal"/>
    <w:link w:val="COVERAUTHORSCapitalsCentred12ptChar"/>
    <w:qFormat/>
    <w:rsid w:val="007E52E2"/>
    <w:pPr>
      <w:tabs>
        <w:tab w:val="right" w:pos="7200"/>
      </w:tabs>
      <w:spacing w:before="160" w:after="200" w:line="312" w:lineRule="auto"/>
      <w:jc w:val="center"/>
    </w:pPr>
    <w:rPr>
      <w:caps/>
      <w:sz w:val="24"/>
      <w:lang w:val="en-US" w:eastAsia="en-US"/>
    </w:rPr>
  </w:style>
  <w:style w:type="character" w:customStyle="1" w:styleId="COVERTITLEboldcentred16ptChar">
    <w:name w:val="COVER TITLE bold centred 16pt Char"/>
    <w:basedOn w:val="DefaultParagraphFont"/>
    <w:link w:val="COVERTITLEboldcentred16pt"/>
    <w:rsid w:val="007E52E2"/>
    <w:rPr>
      <w:b/>
      <w:caps/>
      <w:sz w:val="32"/>
      <w:szCs w:val="32"/>
      <w:lang w:val="en-US" w:eastAsia="en-US"/>
    </w:rPr>
  </w:style>
  <w:style w:type="paragraph" w:customStyle="1" w:styleId="COVERNumberedaffiliationdetails8ptcentred">
    <w:name w:val="COVER Numbered affiliation details 8pt centred"/>
    <w:basedOn w:val="ListParagraph"/>
    <w:link w:val="COVERNumberedaffiliationdetails8ptcentredChar"/>
    <w:qFormat/>
    <w:rsid w:val="007E52E2"/>
    <w:pPr>
      <w:numPr>
        <w:numId w:val="1"/>
      </w:numPr>
      <w:tabs>
        <w:tab w:val="right" w:pos="7200"/>
      </w:tabs>
      <w:spacing w:line="312" w:lineRule="auto"/>
      <w:jc w:val="center"/>
    </w:pPr>
    <w:rPr>
      <w:sz w:val="16"/>
      <w:szCs w:val="16"/>
      <w:lang w:val="en-US" w:eastAsia="en-US"/>
    </w:rPr>
  </w:style>
  <w:style w:type="character" w:customStyle="1" w:styleId="COVERAUTHORSCapitalsCentred12ptChar">
    <w:name w:val="COVER AUTHORS Capitals Centred 12pt Char"/>
    <w:basedOn w:val="DefaultParagraphFont"/>
    <w:link w:val="COVERAUTHORSCapitalsCentred12pt"/>
    <w:rsid w:val="007E52E2"/>
    <w:rPr>
      <w:caps/>
      <w:sz w:val="24"/>
      <w:szCs w:val="24"/>
      <w:lang w:val="en-US" w:eastAsia="en-US"/>
    </w:rPr>
  </w:style>
  <w:style w:type="paragraph" w:customStyle="1" w:styleId="COVERSMALLCAPITALSLeftaligned10ptforCorrespondingAuthor">
    <w:name w:val="COVER SMALL CAPITALS Left aligned 10pt for Corresponding Author"/>
    <w:basedOn w:val="Normal"/>
    <w:link w:val="COVERSMALLCAPITALSLeftaligned10ptforCorrespondingAuthorChar"/>
    <w:qFormat/>
    <w:rsid w:val="007E52E2"/>
    <w:pPr>
      <w:tabs>
        <w:tab w:val="right" w:pos="7200"/>
      </w:tabs>
      <w:spacing w:line="312" w:lineRule="auto"/>
    </w:pPr>
    <w:rPr>
      <w:caps/>
      <w:lang w:val="en-US" w:eastAsia="en-US"/>
    </w:rPr>
  </w:style>
  <w:style w:type="character" w:customStyle="1" w:styleId="ListParagraphChar">
    <w:name w:val="List Paragraph Char"/>
    <w:basedOn w:val="DefaultParagraphFont"/>
    <w:link w:val="ListParagraph"/>
    <w:uiPriority w:val="34"/>
    <w:rsid w:val="007E52E2"/>
    <w:rPr>
      <w:szCs w:val="24"/>
    </w:rPr>
  </w:style>
  <w:style w:type="character" w:customStyle="1" w:styleId="COVERNumberedaffiliationdetails8ptcentredChar">
    <w:name w:val="COVER Numbered affiliation details 8pt centred Char"/>
    <w:basedOn w:val="ListParagraphChar"/>
    <w:link w:val="COVERNumberedaffiliationdetails8ptcentred"/>
    <w:rsid w:val="007E52E2"/>
    <w:rPr>
      <w:sz w:val="16"/>
      <w:szCs w:val="16"/>
      <w:lang w:val="en-US" w:eastAsia="en-US"/>
    </w:rPr>
  </w:style>
  <w:style w:type="paragraph" w:customStyle="1" w:styleId="COVERCorresAuthordetailsleftaligned8pt">
    <w:name w:val="COVER Corres. Author details left aligned 8pt"/>
    <w:basedOn w:val="COVERNumberedaffiliationdetails8ptcentred"/>
    <w:link w:val="COVERCorresAuthordetailsleftaligned8ptChar"/>
    <w:qFormat/>
    <w:rsid w:val="00787C3C"/>
    <w:pPr>
      <w:numPr>
        <w:numId w:val="0"/>
      </w:numPr>
      <w:jc w:val="left"/>
    </w:pPr>
  </w:style>
  <w:style w:type="character" w:customStyle="1" w:styleId="COVERSMALLCAPITALSLeftaligned10ptforCorrespondingAuthorChar">
    <w:name w:val="COVER SMALL CAPITALS Left aligned 10pt for Corresponding Author Char"/>
    <w:basedOn w:val="DefaultParagraphFont"/>
    <w:link w:val="COVERSMALLCAPITALSLeftaligned10ptforCorrespondingAuthor"/>
    <w:rsid w:val="007E52E2"/>
    <w:rPr>
      <w:caps/>
      <w:szCs w:val="24"/>
      <w:lang w:val="en-US" w:eastAsia="en-US"/>
    </w:rPr>
  </w:style>
  <w:style w:type="character" w:styleId="FollowedHyperlink">
    <w:name w:val="FollowedHyperlink"/>
    <w:basedOn w:val="DefaultParagraphFont"/>
    <w:rsid w:val="00787C3C"/>
    <w:rPr>
      <w:color w:val="800080" w:themeColor="followedHyperlink"/>
      <w:u w:val="single"/>
    </w:rPr>
  </w:style>
  <w:style w:type="character" w:customStyle="1" w:styleId="COVERCorresAuthordetailsleftaligned8ptChar">
    <w:name w:val="COVER Corres. Author details left aligned 8pt Char"/>
    <w:basedOn w:val="COVERNumberedaffiliationdetails8ptcentredChar"/>
    <w:link w:val="COVERCorresAuthordetailsleftaligned8pt"/>
    <w:rsid w:val="00787C3C"/>
    <w:rPr>
      <w:sz w:val="16"/>
      <w:szCs w:val="16"/>
      <w:lang w:val="en-US" w:eastAsia="en-US"/>
    </w:rPr>
  </w:style>
  <w:style w:type="numbering" w:customStyle="1" w:styleId="Headings">
    <w:name w:val="Headings"/>
    <w:uiPriority w:val="99"/>
    <w:rsid w:val="00C56831"/>
    <w:pPr>
      <w:numPr>
        <w:numId w:val="2"/>
      </w:numPr>
    </w:pPr>
  </w:style>
  <w:style w:type="character" w:customStyle="1" w:styleId="Heading4Char">
    <w:name w:val="Heading 4 Char"/>
    <w:basedOn w:val="DefaultParagraphFont"/>
    <w:link w:val="Heading4"/>
    <w:semiHidden/>
    <w:rsid w:val="00C56831"/>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semiHidden/>
    <w:rsid w:val="00C56831"/>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semiHidden/>
    <w:rsid w:val="00C56831"/>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uiPriority w:val="99"/>
    <w:rsid w:val="00F80A5E"/>
    <w:rPr>
      <w:sz w:val="16"/>
      <w:szCs w:val="16"/>
    </w:rPr>
  </w:style>
  <w:style w:type="paragraph" w:styleId="CommentText">
    <w:name w:val="annotation text"/>
    <w:basedOn w:val="Normal"/>
    <w:link w:val="CommentTextChar"/>
    <w:uiPriority w:val="99"/>
    <w:rsid w:val="00F80A5E"/>
    <w:rPr>
      <w:szCs w:val="20"/>
    </w:rPr>
  </w:style>
  <w:style w:type="character" w:customStyle="1" w:styleId="CommentTextChar">
    <w:name w:val="Comment Text Char"/>
    <w:basedOn w:val="DefaultParagraphFont"/>
    <w:link w:val="CommentText"/>
    <w:uiPriority w:val="99"/>
    <w:rsid w:val="00F80A5E"/>
  </w:style>
  <w:style w:type="paragraph" w:styleId="CommentSubject">
    <w:name w:val="annotation subject"/>
    <w:basedOn w:val="CommentText"/>
    <w:next w:val="CommentText"/>
    <w:link w:val="CommentSubjectChar"/>
    <w:uiPriority w:val="99"/>
    <w:rsid w:val="00F80A5E"/>
    <w:rPr>
      <w:b/>
      <w:bCs/>
    </w:rPr>
  </w:style>
  <w:style w:type="character" w:customStyle="1" w:styleId="CommentSubjectChar">
    <w:name w:val="Comment Subject Char"/>
    <w:basedOn w:val="CommentTextChar"/>
    <w:link w:val="CommentSubject"/>
    <w:uiPriority w:val="99"/>
    <w:rsid w:val="00F80A5E"/>
    <w:rPr>
      <w:b/>
      <w:bCs/>
    </w:rPr>
  </w:style>
  <w:style w:type="paragraph" w:styleId="BodyText">
    <w:name w:val="Body Text"/>
    <w:basedOn w:val="Normal"/>
    <w:link w:val="BodyTextChar"/>
    <w:rsid w:val="00D2730F"/>
    <w:pPr>
      <w:jc w:val="both"/>
    </w:pPr>
    <w:rPr>
      <w:sz w:val="24"/>
      <w:lang w:eastAsia="en-US"/>
    </w:rPr>
  </w:style>
  <w:style w:type="character" w:customStyle="1" w:styleId="BodyTextChar">
    <w:name w:val="Body Text Char"/>
    <w:basedOn w:val="DefaultParagraphFont"/>
    <w:link w:val="BodyText"/>
    <w:rsid w:val="00D2730F"/>
    <w:rPr>
      <w:sz w:val="24"/>
      <w:szCs w:val="24"/>
      <w:lang w:eastAsia="en-US"/>
    </w:rPr>
  </w:style>
  <w:style w:type="character" w:styleId="PageNumber">
    <w:name w:val="page number"/>
    <w:basedOn w:val="DefaultParagraphFont"/>
    <w:uiPriority w:val="99"/>
    <w:rsid w:val="00D2730F"/>
  </w:style>
  <w:style w:type="character" w:customStyle="1" w:styleId="HeaderChar">
    <w:name w:val="Header Char"/>
    <w:basedOn w:val="DefaultParagraphFont"/>
    <w:link w:val="Header"/>
    <w:uiPriority w:val="99"/>
    <w:rsid w:val="00D2730F"/>
    <w:rPr>
      <w:rFonts w:ascii="Arial" w:hAnsi="Arial"/>
      <w:szCs w:val="24"/>
    </w:rPr>
  </w:style>
  <w:style w:type="table" w:customStyle="1" w:styleId="LightList-Accent12">
    <w:name w:val="Light List - Accent 12"/>
    <w:basedOn w:val="TableNormal"/>
    <w:uiPriority w:val="61"/>
    <w:rsid w:val="00BD0A6E"/>
    <w:rPr>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1B256A"/>
    <w:pPr>
      <w:spacing w:after="200"/>
    </w:pPr>
    <w:rPr>
      <w:rFonts w:asciiTheme="minorHAnsi" w:eastAsiaTheme="minorEastAsia" w:hAnsiTheme="minorHAnsi" w:cstheme="minorBidi"/>
      <w:b/>
      <w:bCs/>
      <w:sz w:val="22"/>
      <w:szCs w:val="18"/>
      <w:lang w:eastAsia="zh-CN"/>
    </w:rPr>
  </w:style>
  <w:style w:type="table" w:styleId="TableGrid">
    <w:name w:val="Table Grid"/>
    <w:basedOn w:val="TableNormal"/>
    <w:uiPriority w:val="39"/>
    <w:rsid w:val="007B4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7B4BC0"/>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B4BC0"/>
    <w:rPr>
      <w:rFonts w:ascii="Arial" w:eastAsiaTheme="minorHAnsi" w:hAnsi="Arial" w:cs="Arial"/>
      <w:color w:val="000000" w:themeColor="text1" w:themeShade="BF"/>
      <w:sz w:val="24"/>
      <w:szCs w:val="24"/>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B4B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B4BC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8A10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harAttribute9">
    <w:name w:val="CharAttribute9"/>
    <w:uiPriority w:val="99"/>
    <w:rsid w:val="003F51BC"/>
    <w:rPr>
      <w:rFonts w:ascii="Calibri" w:eastAsia="Times New Roman" w:hAnsi="Calibri" w:cs="Calibri"/>
      <w:b/>
      <w:bCs/>
      <w:sz w:val="24"/>
      <w:szCs w:val="24"/>
    </w:rPr>
  </w:style>
  <w:style w:type="character" w:customStyle="1" w:styleId="CharAttribute2">
    <w:name w:val="CharAttribute2"/>
    <w:uiPriority w:val="99"/>
    <w:rsid w:val="003F51BC"/>
    <w:rPr>
      <w:rFonts w:ascii="Calibri" w:eastAsia="Times New Roman" w:hAnsi="Calibri" w:cs="Calibri"/>
      <w:sz w:val="24"/>
      <w:szCs w:val="24"/>
    </w:rPr>
  </w:style>
  <w:style w:type="paragraph" w:customStyle="1" w:styleId="ParaAttribute12">
    <w:name w:val="ParaAttribute12"/>
    <w:uiPriority w:val="99"/>
    <w:rsid w:val="003F51BC"/>
    <w:pPr>
      <w:widowControl w:val="0"/>
      <w:wordWrap w:val="0"/>
    </w:pPr>
    <w:rPr>
      <w:rFonts w:eastAsia="Batang"/>
    </w:rPr>
  </w:style>
  <w:style w:type="character" w:customStyle="1" w:styleId="CharAttribute11">
    <w:name w:val="CharAttribute11"/>
    <w:uiPriority w:val="99"/>
    <w:rsid w:val="003F51BC"/>
    <w:rPr>
      <w:rFonts w:ascii="Calibri" w:eastAsia="Times New Roman" w:hAnsi="Calibri" w:cs="Calibri"/>
      <w:sz w:val="24"/>
      <w:szCs w:val="24"/>
      <w:vertAlign w:val="superscript"/>
    </w:rPr>
  </w:style>
  <w:style w:type="character" w:customStyle="1" w:styleId="CharAttribute12">
    <w:name w:val="CharAttribute12"/>
    <w:uiPriority w:val="99"/>
    <w:rsid w:val="003F51BC"/>
    <w:rPr>
      <w:rFonts w:ascii="Calibri" w:eastAsia="Times New Roman" w:hAnsi="Calibri" w:cs="Calibri"/>
      <w:sz w:val="24"/>
      <w:szCs w:val="24"/>
      <w:vertAlign w:val="superscript"/>
    </w:rPr>
  </w:style>
  <w:style w:type="character" w:customStyle="1" w:styleId="CharAttribute28">
    <w:name w:val="CharAttribute28"/>
    <w:uiPriority w:val="99"/>
    <w:rsid w:val="003F51BC"/>
    <w:rPr>
      <w:rFonts w:ascii="Calibri" w:eastAsia="Times New Roman" w:hAnsi="Calibri" w:cs="Calibri"/>
    </w:rPr>
  </w:style>
  <w:style w:type="character" w:customStyle="1" w:styleId="CharAttribute30">
    <w:name w:val="CharAttribute30"/>
    <w:uiPriority w:val="99"/>
    <w:rsid w:val="003F51BC"/>
    <w:rPr>
      <w:rFonts w:ascii="Calibri" w:eastAsia="Times New Roman" w:hAnsi="Calibri" w:cs="Calibri"/>
      <w:vertAlign w:val="superscript"/>
    </w:rPr>
  </w:style>
  <w:style w:type="character" w:customStyle="1" w:styleId="CharAttribute14">
    <w:name w:val="CharAttribute14"/>
    <w:uiPriority w:val="99"/>
    <w:rsid w:val="003F51BC"/>
    <w:rPr>
      <w:rFonts w:ascii="Calibri" w:eastAsia="Times New Roman" w:hAnsi="Calibri" w:cs="Calibri"/>
      <w:i/>
      <w:iCs/>
      <w:sz w:val="24"/>
      <w:szCs w:val="24"/>
    </w:rPr>
  </w:style>
  <w:style w:type="character" w:customStyle="1" w:styleId="CharAttribute15">
    <w:name w:val="CharAttribute15"/>
    <w:uiPriority w:val="99"/>
    <w:rsid w:val="003F51BC"/>
    <w:rPr>
      <w:rFonts w:ascii="Calibri" w:eastAsia="Times New Roman" w:hAnsi="Calibri" w:cs="Calibri"/>
      <w:sz w:val="24"/>
      <w:szCs w:val="24"/>
      <w:u w:val="single"/>
    </w:rPr>
  </w:style>
  <w:style w:type="character" w:customStyle="1" w:styleId="apple-converted-space">
    <w:name w:val="apple-converted-space"/>
    <w:basedOn w:val="DefaultParagraphFont"/>
    <w:rsid w:val="003F51BC"/>
  </w:style>
  <w:style w:type="paragraph" w:styleId="NormalWeb">
    <w:name w:val="Normal (Web)"/>
    <w:basedOn w:val="Normal"/>
    <w:uiPriority w:val="99"/>
    <w:rsid w:val="003F51BC"/>
    <w:pPr>
      <w:spacing w:before="100" w:beforeAutospacing="1" w:after="100" w:afterAutospacing="1"/>
    </w:pPr>
    <w:rPr>
      <w:sz w:val="24"/>
    </w:rPr>
  </w:style>
  <w:style w:type="paragraph" w:styleId="EndnoteText">
    <w:name w:val="endnote text"/>
    <w:basedOn w:val="Normal"/>
    <w:link w:val="EndnoteTextChar"/>
    <w:uiPriority w:val="99"/>
    <w:semiHidden/>
    <w:unhideWhenUsed/>
    <w:rsid w:val="008418E3"/>
    <w:rPr>
      <w:szCs w:val="20"/>
    </w:rPr>
  </w:style>
  <w:style w:type="character" w:customStyle="1" w:styleId="EndnoteTextChar">
    <w:name w:val="Endnote Text Char"/>
    <w:basedOn w:val="DefaultParagraphFont"/>
    <w:link w:val="EndnoteText"/>
    <w:uiPriority w:val="99"/>
    <w:semiHidden/>
    <w:rsid w:val="008418E3"/>
  </w:style>
  <w:style w:type="character" w:styleId="EndnoteReference">
    <w:name w:val="endnote reference"/>
    <w:basedOn w:val="DefaultParagraphFont"/>
    <w:uiPriority w:val="99"/>
    <w:semiHidden/>
    <w:unhideWhenUsed/>
    <w:rsid w:val="008418E3"/>
    <w:rPr>
      <w:vertAlign w:val="superscript"/>
    </w:rPr>
  </w:style>
  <w:style w:type="character" w:styleId="Strong">
    <w:name w:val="Strong"/>
    <w:basedOn w:val="DefaultParagraphFont"/>
    <w:uiPriority w:val="22"/>
    <w:qFormat/>
    <w:rsid w:val="008B0BB8"/>
    <w:rPr>
      <w:b/>
      <w:bCs/>
    </w:rPr>
  </w:style>
  <w:style w:type="character" w:styleId="Emphasis">
    <w:name w:val="Emphasis"/>
    <w:basedOn w:val="DefaultParagraphFont"/>
    <w:uiPriority w:val="20"/>
    <w:qFormat/>
    <w:rsid w:val="008B0BB8"/>
    <w:rPr>
      <w:i/>
      <w:iCs/>
    </w:rPr>
  </w:style>
  <w:style w:type="character" w:customStyle="1" w:styleId="Heading1Char">
    <w:name w:val="Heading 1 Char"/>
    <w:basedOn w:val="DefaultParagraphFont"/>
    <w:link w:val="Heading1"/>
    <w:uiPriority w:val="9"/>
    <w:rsid w:val="003E6D05"/>
    <w:rPr>
      <w:rFonts w:cs="Arial"/>
      <w:b/>
      <w:bCs/>
      <w:sz w:val="28"/>
      <w:szCs w:val="32"/>
    </w:rPr>
  </w:style>
  <w:style w:type="character" w:customStyle="1" w:styleId="Heading2Char">
    <w:name w:val="Heading 2 Char"/>
    <w:basedOn w:val="DefaultParagraphFont"/>
    <w:link w:val="Heading2"/>
    <w:uiPriority w:val="9"/>
    <w:rsid w:val="003E6D05"/>
    <w:rPr>
      <w:rFonts w:cs="Arial"/>
      <w:b/>
      <w:iCs/>
      <w:sz w:val="24"/>
      <w:szCs w:val="28"/>
    </w:rPr>
  </w:style>
  <w:style w:type="paragraph" w:styleId="Title">
    <w:name w:val="Title"/>
    <w:basedOn w:val="Normal"/>
    <w:next w:val="Normal"/>
    <w:link w:val="TitleChar"/>
    <w:uiPriority w:val="10"/>
    <w:qFormat/>
    <w:rsid w:val="003E6D05"/>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3E6D05"/>
    <w:rPr>
      <w:rFonts w:asciiTheme="majorHAnsi" w:eastAsiaTheme="majorEastAsia" w:hAnsiTheme="majorHAnsi" w:cstheme="majorBidi"/>
      <w:spacing w:val="-10"/>
      <w:kern w:val="28"/>
      <w:sz w:val="56"/>
      <w:szCs w:val="56"/>
      <w:lang w:eastAsia="en-US"/>
    </w:rPr>
  </w:style>
  <w:style w:type="character" w:customStyle="1" w:styleId="ref-journal">
    <w:name w:val="ref-journal"/>
    <w:basedOn w:val="DefaultParagraphFont"/>
    <w:rsid w:val="003E6D05"/>
  </w:style>
  <w:style w:type="character" w:customStyle="1" w:styleId="ref-vol">
    <w:name w:val="ref-vol"/>
    <w:basedOn w:val="DefaultParagraphFont"/>
    <w:rsid w:val="003E6D05"/>
  </w:style>
  <w:style w:type="table" w:styleId="LightList-Accent1">
    <w:name w:val="Light List Accent 1"/>
    <w:basedOn w:val="TableNormal"/>
    <w:uiPriority w:val="61"/>
    <w:rsid w:val="003E6D05"/>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EndNoteBibliographyTitle">
    <w:name w:val="EndNote Bibliography Title"/>
    <w:basedOn w:val="Normal"/>
    <w:link w:val="EndNoteBibliographyTitleChar"/>
    <w:rsid w:val="003E6D05"/>
    <w:pPr>
      <w:jc w:val="center"/>
    </w:pPr>
    <w:rPr>
      <w:rFonts w:ascii="Arial" w:eastAsiaTheme="minorHAnsi" w:hAnsi="Arial" w:cs="Arial"/>
      <w:noProof/>
      <w:sz w:val="24"/>
      <w:szCs w:val="22"/>
      <w:lang w:val="en-US" w:eastAsia="en-US"/>
    </w:rPr>
  </w:style>
  <w:style w:type="character" w:customStyle="1" w:styleId="EndNoteBibliographyTitleChar">
    <w:name w:val="EndNote Bibliography Title Char"/>
    <w:basedOn w:val="DefaultParagraphFont"/>
    <w:link w:val="EndNoteBibliographyTitle"/>
    <w:rsid w:val="003E6D05"/>
    <w:rPr>
      <w:rFonts w:ascii="Arial" w:eastAsiaTheme="minorHAnsi" w:hAnsi="Arial" w:cs="Arial"/>
      <w:noProof/>
      <w:sz w:val="24"/>
      <w:szCs w:val="22"/>
      <w:lang w:val="en-US" w:eastAsia="en-US"/>
    </w:rPr>
  </w:style>
  <w:style w:type="paragraph" w:customStyle="1" w:styleId="EndNoteBibliography">
    <w:name w:val="EndNote Bibliography"/>
    <w:basedOn w:val="Normal"/>
    <w:link w:val="EndNoteBibliographyChar"/>
    <w:rsid w:val="003E6D05"/>
    <w:pPr>
      <w:jc w:val="both"/>
    </w:pPr>
    <w:rPr>
      <w:rFonts w:ascii="Arial" w:eastAsiaTheme="minorHAnsi" w:hAnsi="Arial" w:cs="Arial"/>
      <w:noProof/>
      <w:sz w:val="24"/>
      <w:szCs w:val="22"/>
      <w:lang w:val="en-US" w:eastAsia="en-US"/>
    </w:rPr>
  </w:style>
  <w:style w:type="character" w:customStyle="1" w:styleId="EndNoteBibliographyChar">
    <w:name w:val="EndNote Bibliography Char"/>
    <w:basedOn w:val="DefaultParagraphFont"/>
    <w:link w:val="EndNoteBibliography"/>
    <w:rsid w:val="003E6D05"/>
    <w:rPr>
      <w:rFonts w:ascii="Arial" w:eastAsiaTheme="minorHAnsi" w:hAnsi="Arial" w:cs="Arial"/>
      <w:noProof/>
      <w:sz w:val="24"/>
      <w:szCs w:val="22"/>
      <w:lang w:val="en-US" w:eastAsia="en-US"/>
    </w:rPr>
  </w:style>
  <w:style w:type="paragraph" w:customStyle="1" w:styleId="Default">
    <w:name w:val="Default"/>
    <w:rsid w:val="003E6D05"/>
    <w:pPr>
      <w:autoSpaceDE w:val="0"/>
      <w:autoSpaceDN w:val="0"/>
      <w:adjustRightInd w:val="0"/>
    </w:pPr>
    <w:rPr>
      <w:rFonts w:ascii="Calibri" w:eastAsiaTheme="minorHAnsi" w:hAnsi="Calibri" w:cs="Calibri"/>
      <w:color w:val="000000"/>
      <w:sz w:val="24"/>
      <w:szCs w:val="24"/>
      <w:lang w:eastAsia="en-US"/>
    </w:rPr>
  </w:style>
  <w:style w:type="table" w:styleId="ListTable3-Accent5">
    <w:name w:val="List Table 3 Accent 5"/>
    <w:basedOn w:val="TableNormal"/>
    <w:uiPriority w:val="48"/>
    <w:rsid w:val="003E6D05"/>
    <w:rPr>
      <w:rFonts w:asciiTheme="minorHAnsi" w:eastAsiaTheme="minorHAnsi" w:hAnsiTheme="minorHAnsi" w:cstheme="minorBidi"/>
      <w:sz w:val="22"/>
      <w:szCs w:val="22"/>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GridTable4-Accent11">
    <w:name w:val="Grid Table 4 - Accent 11"/>
    <w:basedOn w:val="TableNormal"/>
    <w:uiPriority w:val="49"/>
    <w:rsid w:val="003E6D05"/>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3E6D05"/>
    <w:rPr>
      <w:color w:val="605E5C"/>
      <w:shd w:val="clear" w:color="auto" w:fill="E1DFDD"/>
    </w:rPr>
  </w:style>
  <w:style w:type="character" w:styleId="PlaceholderText">
    <w:name w:val="Placeholder Text"/>
    <w:basedOn w:val="DefaultParagraphFont"/>
    <w:uiPriority w:val="99"/>
    <w:semiHidden/>
    <w:rsid w:val="003E6D05"/>
    <w:rPr>
      <w:color w:val="808080"/>
    </w:rPr>
  </w:style>
  <w:style w:type="paragraph" w:styleId="Revision">
    <w:name w:val="Revision"/>
    <w:hidden/>
    <w:uiPriority w:val="99"/>
    <w:semiHidden/>
    <w:rsid w:val="003E6D05"/>
    <w:rPr>
      <w:szCs w:val="24"/>
    </w:rPr>
  </w:style>
  <w:style w:type="table" w:customStyle="1" w:styleId="TableGrid1">
    <w:name w:val="Table Grid1"/>
    <w:basedOn w:val="TableNormal"/>
    <w:next w:val="TableGrid"/>
    <w:uiPriority w:val="39"/>
    <w:rsid w:val="003E6D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phy">
    <w:name w:val="Bibliography"/>
    <w:basedOn w:val="Normal"/>
    <w:next w:val="Normal"/>
    <w:uiPriority w:val="37"/>
    <w:unhideWhenUsed/>
    <w:rsid w:val="003E6D05"/>
    <w:pPr>
      <w:spacing w:line="480" w:lineRule="auto"/>
      <w:ind w:left="720" w:hanging="720"/>
    </w:pPr>
  </w:style>
  <w:style w:type="character" w:customStyle="1" w:styleId="dbdate">
    <w:name w:val="dbdate"/>
    <w:basedOn w:val="DefaultParagraphFont"/>
    <w:rsid w:val="00885640"/>
  </w:style>
  <w:style w:type="paragraph" w:customStyle="1" w:styleId="CM1">
    <w:name w:val="CM1"/>
    <w:basedOn w:val="Default"/>
    <w:next w:val="Default"/>
    <w:rsid w:val="00885640"/>
    <w:pPr>
      <w:widowControl w:val="0"/>
    </w:pPr>
    <w:rPr>
      <w:rFonts w:eastAsia="Times New Roman" w:cs="Times New Roman"/>
      <w:color w:val="auto"/>
      <w:lang w:val="en-CA" w:eastAsia="en-CA"/>
    </w:rPr>
  </w:style>
  <w:style w:type="paragraph" w:customStyle="1" w:styleId="EndNoteCategoryHeading">
    <w:name w:val="EndNote Category Heading"/>
    <w:basedOn w:val="Normal"/>
    <w:link w:val="EndNoteCategoryHeadingChar"/>
    <w:rsid w:val="00885640"/>
    <w:pPr>
      <w:spacing w:before="120" w:after="120"/>
    </w:pPr>
    <w:rPr>
      <w:b/>
      <w:sz w:val="24"/>
    </w:rPr>
  </w:style>
  <w:style w:type="character" w:customStyle="1" w:styleId="EndNoteCategoryHeadingChar">
    <w:name w:val="EndNote Category Heading Char"/>
    <w:basedOn w:val="DefaultParagraphFont"/>
    <w:link w:val="EndNoteCategoryHeading"/>
    <w:rsid w:val="00885640"/>
    <w:rPr>
      <w:b/>
      <w:sz w:val="24"/>
      <w:szCs w:val="24"/>
    </w:rPr>
  </w:style>
  <w:style w:type="character" w:customStyle="1" w:styleId="UnresolvedMention2">
    <w:name w:val="Unresolved Mention2"/>
    <w:basedOn w:val="DefaultParagraphFont"/>
    <w:uiPriority w:val="99"/>
    <w:semiHidden/>
    <w:unhideWhenUsed/>
    <w:rsid w:val="00885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95488">
      <w:bodyDiv w:val="1"/>
      <w:marLeft w:val="0"/>
      <w:marRight w:val="0"/>
      <w:marTop w:val="0"/>
      <w:marBottom w:val="0"/>
      <w:divBdr>
        <w:top w:val="none" w:sz="0" w:space="0" w:color="auto"/>
        <w:left w:val="none" w:sz="0" w:space="0" w:color="auto"/>
        <w:bottom w:val="none" w:sz="0" w:space="0" w:color="auto"/>
        <w:right w:val="none" w:sz="0" w:space="0" w:color="auto"/>
      </w:divBdr>
    </w:div>
    <w:div w:id="5392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askirbayeva@leeds.ac.u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edhealth.leeds.ac.uk/li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Work\University%20of%20Leeds\Templates\LIHS%20new%20templates\LIHS%20Cover%20template%20thin%20band%202013%20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D834D0E3BE44E828DD508B74B2362" ma:contentTypeVersion="12" ma:contentTypeDescription="Create a new document." ma:contentTypeScope="" ma:versionID="186db39e442791fda1e8e40188c92290">
  <xsd:schema xmlns:xsd="http://www.w3.org/2001/XMLSchema" xmlns:xs="http://www.w3.org/2001/XMLSchema" xmlns:p="http://schemas.microsoft.com/office/2006/metadata/properties" xmlns:ns3="6ec853e0-4aeb-4060-8ad0-cb0bf9a782c1" xmlns:ns4="899dc323-549a-458a-9fea-d3dc678f91dd" targetNamespace="http://schemas.microsoft.com/office/2006/metadata/properties" ma:root="true" ma:fieldsID="32b108bd2e92bee80413366c28e12152" ns3:_="" ns4:_="">
    <xsd:import namespace="6ec853e0-4aeb-4060-8ad0-cb0bf9a782c1"/>
    <xsd:import namespace="899dc323-549a-458a-9fea-d3dc678f9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853e0-4aeb-4060-8ad0-cb0bf9a7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dc323-549a-458a-9fea-d3dc678f9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FAEBA-1074-4F8E-BA12-691B263A1CE4}">
  <ds:schemaRefs>
    <ds:schemaRef ds:uri="http://schemas.openxmlformats.org/officeDocument/2006/bibliography"/>
  </ds:schemaRefs>
</ds:datastoreItem>
</file>

<file path=customXml/itemProps2.xml><?xml version="1.0" encoding="utf-8"?>
<ds:datastoreItem xmlns:ds="http://schemas.openxmlformats.org/officeDocument/2006/customXml" ds:itemID="{A4128C20-EF23-4096-8785-C4616F6D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853e0-4aeb-4060-8ad0-cb0bf9a782c1"/>
    <ds:schemaRef ds:uri="899dc323-549a-458a-9fea-d3dc678f9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419DB-817A-4A21-9043-52B7363CE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E4DBBB-A22F-4CFA-AEAC-C9B6629B38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LIHS Cover template thin band 2013 red</Template>
  <TotalTime>1</TotalTime>
  <Pages>33</Pages>
  <Words>9012</Words>
  <Characters>51369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YCHI cover</vt:lpstr>
    </vt:vector>
  </TitlesOfParts>
  <Company>University of Leeds</Company>
  <LinksUpToDate>false</LinksUpToDate>
  <CharactersWithSpaces>60261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YCHI cover</dc:title>
  <dc:creator>Ge Yu</dc:creator>
  <cp:lastModifiedBy>Bryony Dawkins</cp:lastModifiedBy>
  <cp:revision>2</cp:revision>
  <cp:lastPrinted>2014-12-02T10:53:00Z</cp:lastPrinted>
  <dcterms:created xsi:type="dcterms:W3CDTF">2022-04-27T11:10:00Z</dcterms:created>
  <dcterms:modified xsi:type="dcterms:W3CDTF">2022-04-27T11:10:00Z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0x010100A87D834D0E3BE44E828DD508B74B2362</vt:lpwstr>
  </property>
</Properties>
</file>